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sz w:val="30"/>
          <w:szCs w:val="30"/>
        </w:rPr>
        <w:t xml:space="preserve">10. Paper Study &amp; Replication Scope</w:t>
      </w:r>
    </w:p>
    <w:p>
      <w:pPr>
        <w:spacing w:after="140" w:before="280"/>
      </w:pPr>
      <w:r>
        <w:rPr>
          <w:b/>
          <w:bCs/>
          <w:sz w:val="26"/>
          <w:szCs w:val="26"/>
        </w:rPr>
        <w:t xml:space="preserve">10.1 Papers at a Glance (short summaries)</w:t>
      </w:r>
    </w:p>
    <w:p>
      <w:pPr>
        <w:spacing w:after="100" w:before="180"/>
      </w:pPr>
      <w:r>
        <w:rPr>
          <w:b/>
          <w:bCs/>
          <w:sz w:val="22"/>
          <w:szCs w:val="22"/>
        </w:rPr>
        <w:t xml:space="preserve">[P1] Cai &amp; Liu (2016): Large-scale multiple testing for differential correlations (LCT-N / LCT-B)</w:t>
      </w:r>
    </w:p>
    <w:p>
      <w:pPr>
        <w:pStyle w:val="ListParagraph"/>
        <w:numPr>
          <w:ilvl w:val="0"/>
          <w:numId w:val="1"/>
        </w:numPr>
        <w:spacing w:after="60"/>
      </w:pPr>
      <w:r>
        <w:rPr>
          <w:b/>
          <w:bCs/>
          <w:sz w:val="22"/>
          <w:szCs w:val="22"/>
        </w:rPr>
        <w:t xml:space="preserve">Problem: </w:t>
      </w:r>
      <w:r>
        <w:rPr>
          <w:sz w:val="22"/>
          <w:szCs w:val="22"/>
        </w:rPr>
        <w:t xml:space="preserve">Identify which pairwise correlations (edges) differ between two groups while controlling FDR in high-dimensional settings, including non-Gaussian / heavy-tailed data.</w:t>
      </w:r>
    </w:p>
    <w:p>
      <w:pPr>
        <w:pStyle w:val="ListParagraph"/>
        <w:numPr>
          <w:ilvl w:val="0"/>
          <w:numId w:val="1"/>
        </w:numPr>
        <w:spacing w:after="60"/>
      </w:pPr>
      <w:r>
        <w:rPr>
          <w:b/>
          <w:bCs/>
          <w:sz w:val="22"/>
          <w:szCs w:val="22"/>
        </w:rPr>
        <w:t xml:space="preserve">Idea: </w:t>
      </w:r>
      <w:r>
        <w:rPr>
          <w:sz w:val="22"/>
          <w:szCs w:val="22"/>
        </w:rPr>
        <w:t xml:space="preserve">A variance-stabilized per-edge statistic that is approximately N(0,1) under H₀, plus two FDR procedures:</w:t>
      </w:r>
    </w:p>
    <w:p>
      <w:pPr>
        <w:pStyle w:val="ListParagraph"/>
        <w:numPr>
          <w:ilvl w:val="1"/>
          <w:numId w:val="1"/>
        </w:numPr>
        <w:spacing w:after="60"/>
      </w:pPr>
      <w:r>
        <w:rPr>
          <w:b/>
          <w:bCs/>
          <w:sz w:val="22"/>
          <w:szCs w:val="22"/>
        </w:rPr>
        <w:t xml:space="preserve">LCT-N: </w:t>
      </w:r>
      <w:r>
        <w:rPr>
          <w:sz w:val="22"/>
          <w:szCs w:val="22"/>
        </w:rPr>
        <w:t xml:space="preserve">normal-tail estimate of false discoveries;</w:t>
      </w:r>
    </w:p>
    <w:p>
      <w:pPr>
        <w:pStyle w:val="ListParagraph"/>
        <w:numPr>
          <w:ilvl w:val="1"/>
          <w:numId w:val="1"/>
        </w:numPr>
        <w:spacing w:after="60"/>
      </w:pPr>
      <w:r>
        <w:rPr>
          <w:b/>
          <w:bCs/>
          <w:sz w:val="22"/>
          <w:szCs w:val="22"/>
        </w:rPr>
        <w:t xml:space="preserve">LCT-B: </w:t>
      </w:r>
      <w:r>
        <w:rPr>
          <w:sz w:val="22"/>
          <w:szCs w:val="22"/>
        </w:rPr>
        <w:t xml:space="preserve">bootstrap-based estimate of false discoveries (better at small n, robust under non-Gaussianity).</w:t>
      </w:r>
    </w:p>
    <w:p>
      <w:pPr>
        <w:pStyle w:val="ListParagraph"/>
        <w:numPr>
          <w:ilvl w:val="0"/>
          <w:numId w:val="1"/>
        </w:numPr>
        <w:spacing w:after="140"/>
      </w:pPr>
      <w:r>
        <w:rPr>
          <w:b/>
          <w:bCs/>
          <w:sz w:val="22"/>
          <w:szCs w:val="22"/>
        </w:rPr>
        <w:t xml:space="preserve">Claims: </w:t>
      </w:r>
      <w:r>
        <w:rPr>
          <w:sz w:val="22"/>
          <w:szCs w:val="22"/>
        </w:rPr>
        <w:t xml:space="preserve">Improved FDR control and power vs. Fisher-z + BH/BY; demonstrated on simulations and a prostate gene-expression example.</w:t>
      </w:r>
    </w:p>
    <w:p>
      <w:pPr>
        <w:spacing w:after="100" w:before="180"/>
      </w:pPr>
      <w:r>
        <w:rPr>
          <w:b/>
          <w:bCs/>
          <w:sz w:val="22"/>
          <w:szCs w:val="22"/>
        </w:rPr>
        <w:t xml:space="preserve">[P2] Vesely et al. (2023): Post-hoc true-discovery guarantees (TDP) via permutation closed testing</w:t>
      </w:r>
    </w:p>
    <w:p>
      <w:pPr>
        <w:pStyle w:val="ListParagraph"/>
        <w:numPr>
          <w:ilvl w:val="0"/>
          <w:numId w:val="1"/>
        </w:numPr>
        <w:spacing w:after="60"/>
      </w:pPr>
      <w:r>
        <w:rPr>
          <w:b/>
          <w:bCs/>
          <w:sz w:val="22"/>
          <w:szCs w:val="22"/>
        </w:rPr>
        <w:t xml:space="preserve">Problem: </w:t>
      </w:r>
      <w:r>
        <w:rPr>
          <w:sz w:val="22"/>
          <w:szCs w:val="22"/>
        </w:rPr>
        <w:t xml:space="preserve">After exploratory analysis, make valid claims about how many of the findings in any chosen subset are truly non-null — without selection bias.</w:t>
      </w:r>
    </w:p>
    <w:p>
      <w:pPr>
        <w:pStyle w:val="ListParagraph"/>
        <w:numPr>
          <w:ilvl w:val="0"/>
          <w:numId w:val="1"/>
        </w:numPr>
        <w:spacing w:after="60"/>
      </w:pPr>
      <w:r>
        <w:rPr>
          <w:b/>
          <w:bCs/>
          <w:sz w:val="22"/>
          <w:szCs w:val="22"/>
        </w:rPr>
        <w:t xml:space="preserve">Idea: </w:t>
      </w:r>
      <w:r>
        <w:rPr>
          <w:sz w:val="22"/>
          <w:szCs w:val="22"/>
        </w:rPr>
        <w:t xml:space="preserve">A permutation-based closed-testing shortcut that yields lower bounds on the true discovery proportion (TDP) for arbitrary subsets (e.g., gene modules, brain ROI sets).</w:t>
      </w:r>
    </w:p>
    <w:p>
      <w:pPr>
        <w:pStyle w:val="ListParagraph"/>
        <w:numPr>
          <w:ilvl w:val="0"/>
          <w:numId w:val="1"/>
        </w:numPr>
        <w:spacing w:after="140"/>
      </w:pPr>
      <w:r>
        <w:rPr>
          <w:b/>
          <w:bCs/>
          <w:sz w:val="22"/>
          <w:szCs w:val="22"/>
        </w:rPr>
        <w:t xml:space="preserve">Use here: </w:t>
      </w:r>
      <w:r>
        <w:rPr>
          <w:sz w:val="22"/>
          <w:szCs w:val="22"/>
        </w:rPr>
        <w:t xml:space="preserve">Attach subset-level certificates to edges/modules discovered by LCT, turning findings into quantified guarantees.</w:t>
      </w:r>
    </w:p>
    <w:p>
      <w:pPr>
        <w:spacing w:after="100" w:before="180"/>
      </w:pPr>
      <w:r>
        <w:rPr>
          <w:b/>
          <w:bCs/>
          <w:sz w:val="22"/>
          <w:szCs w:val="22"/>
        </w:rPr>
        <w:t xml:space="preserve">[P3] Sánchez-Gómez, Zhang &amp; Liu (2025): Global tests for (two/multiple) correlation matrices</w:t>
      </w:r>
    </w:p>
    <w:p>
      <w:pPr>
        <w:pStyle w:val="ListParagraph"/>
        <w:numPr>
          <w:ilvl w:val="0"/>
          <w:numId w:val="1"/>
        </w:numPr>
        <w:spacing w:after="60"/>
      </w:pPr>
      <w:r>
        <w:rPr>
          <w:b/>
          <w:bCs/>
          <w:sz w:val="22"/>
          <w:szCs w:val="22"/>
        </w:rPr>
        <w:t xml:space="preserve">Problem: </w:t>
      </w:r>
      <w:r>
        <w:rPr>
          <w:sz w:val="22"/>
          <w:szCs w:val="22"/>
        </w:rPr>
        <w:t xml:space="preserve">Decide whether entire correlation structures differ across 2+ groups with finite-sample validity.</w:t>
      </w:r>
    </w:p>
    <w:p>
      <w:pPr>
        <w:pStyle w:val="ListParagraph"/>
        <w:numPr>
          <w:ilvl w:val="0"/>
          <w:numId w:val="1"/>
        </w:numPr>
        <w:spacing w:after="60"/>
      </w:pPr>
      <w:r>
        <w:rPr>
          <w:b/>
          <w:bCs/>
          <w:sz w:val="22"/>
          <w:szCs w:val="22"/>
        </w:rPr>
        <w:t xml:space="preserve">Idea: </w:t>
      </w:r>
      <w:r>
        <w:rPr>
          <w:sz w:val="22"/>
          <w:szCs w:val="22"/>
        </w:rPr>
        <w:t xml:space="preserve">A variance-stabilizing transform and Frobenius-type permutation statistics for two-group and K-group settings; exact size control; sensitivity to both sparse and dense changes.</w:t>
      </w:r>
    </w:p>
    <w:p>
      <w:pPr>
        <w:pStyle w:val="ListParagraph"/>
        <w:numPr>
          <w:ilvl w:val="0"/>
          <w:numId w:val="1"/>
        </w:numPr>
        <w:spacing w:after="140"/>
      </w:pPr>
      <w:r>
        <w:rPr>
          <w:b/>
          <w:bCs/>
          <w:sz w:val="22"/>
          <w:szCs w:val="22"/>
        </w:rPr>
        <w:t xml:space="preserve">Use here: </w:t>
      </w:r>
      <w:r>
        <w:rPr>
          <w:sz w:val="22"/>
          <w:szCs w:val="22"/>
        </w:rPr>
        <w:t xml:space="preserve">A gatekeeper step — if global test is significant, proceed to edge-level LCT and subset-level certification.</w:t>
      </w:r>
    </w:p>
    <w:p>
      <w:pPr>
        <w:spacing w:after="140" w:before="280"/>
      </w:pPr>
      <w:r>
        <w:rPr>
          <w:b/>
          <w:bCs/>
          <w:sz w:val="26"/>
          <w:szCs w:val="26"/>
        </w:rPr>
        <w:t xml:space="preserve">10.2 What I Am Replicating First (Week 1–3)</w:t>
      </w:r>
    </w:p>
    <w:p>
      <w:pPr>
        <w:spacing w:after="120" w:before="0"/>
      </w:pPr>
      <w:r>
        <w:rPr>
          <w:b/>
          <w:bCs/>
          <w:sz w:val="22"/>
          <w:szCs w:val="22"/>
        </w:rPr>
        <w:t xml:space="preserve">Primary replication target: </w:t>
      </w:r>
      <w:r>
        <w:rPr>
          <w:b/>
          <w:bCs/>
          <w:sz w:val="22"/>
          <w:szCs w:val="22"/>
        </w:rPr>
        <w:t xml:space="preserve">[P1] Cai &amp; Liu (2016)</w:t>
      </w:r>
    </w:p>
    <w:p>
      <w:pPr>
        <w:pStyle w:val="ListParagraph"/>
        <w:numPr>
          <w:ilvl w:val="0"/>
          <w:numId w:val="1"/>
        </w:numPr>
        <w:spacing w:after="60"/>
      </w:pPr>
      <w:r>
        <w:rPr>
          <w:b/>
          <w:bCs/>
          <w:sz w:val="22"/>
          <w:szCs w:val="22"/>
        </w:rPr>
        <w:t xml:space="preserve">Why first: </w:t>
      </w:r>
      <w:r>
        <w:rPr>
          <w:sz w:val="22"/>
          <w:szCs w:val="22"/>
        </w:rPr>
        <w:t xml:space="preserve">It's the edge-level engine of the pipeline; once correct and calibrated, we can layer [P3] for global detection and [P2] for certified subsets.</w:t>
      </w:r>
    </w:p>
    <w:p>
      <w:pPr>
        <w:pStyle w:val="ListParagraph"/>
        <w:numPr>
          <w:ilvl w:val="0"/>
          <w:numId w:val="1"/>
        </w:numPr>
        <w:spacing w:after="60"/>
      </w:pPr>
      <w:r>
        <w:rPr>
          <w:b/>
          <w:bCs/>
          <w:sz w:val="22"/>
          <w:szCs w:val="22"/>
        </w:rPr>
        <w:t xml:space="preserve">Replicate exactly:</w:t>
      </w:r>
    </w:p>
    <w:p>
      <w:pPr>
        <w:pStyle w:val="ListParagraph"/>
        <w:numPr>
          <w:ilvl w:val="0"/>
          <w:numId w:val="2"/>
        </w:numPr>
        <w:spacing w:after="60"/>
      </w:pPr>
      <w:r>
        <w:rPr>
          <w:b/>
          <w:bCs/>
          <w:sz w:val="22"/>
          <w:szCs w:val="22"/>
        </w:rPr>
        <w:t xml:space="preserve">Fisher-z + BH/BY</w:t>
      </w:r>
      <w:r>
        <w:rPr>
          <w:sz w:val="22"/>
          <w:szCs w:val="22"/>
        </w:rPr>
        <w:t xml:space="preserve"> baselines (sanity + comparisons).</w:t>
      </w:r>
    </w:p>
    <w:p>
      <w:pPr>
        <w:pStyle w:val="ListParagraph"/>
        <w:numPr>
          <w:ilvl w:val="0"/>
          <w:numId w:val="2"/>
        </w:numPr>
        <w:spacing w:after="60"/>
      </w:pPr>
      <w:r>
        <w:rPr>
          <w:b/>
          <w:bCs/>
          <w:sz w:val="22"/>
          <w:szCs w:val="22"/>
        </w:rPr>
        <w:t xml:space="preserve">LCT-N / LCT-B</w:t>
      </w:r>
      <w:r>
        <w:rPr>
          <w:sz w:val="22"/>
          <w:szCs w:val="22"/>
        </w:rPr>
        <w:t xml:space="preserve"> procedures, including the threshold-selection via estimated FDR.</w:t>
      </w:r>
    </w:p>
    <w:p>
      <w:pPr>
        <w:pStyle w:val="ListParagraph"/>
        <w:numPr>
          <w:ilvl w:val="0"/>
          <w:numId w:val="2"/>
        </w:numPr>
        <w:spacing w:after="60"/>
      </w:pPr>
      <w:r>
        <w:rPr>
          <w:b/>
          <w:bCs/>
          <w:sz w:val="22"/>
          <w:szCs w:val="22"/>
        </w:rPr>
        <w:t xml:space="preserve">Simulation designs</w:t>
      </w:r>
      <w:r>
        <w:rPr>
          <w:sz w:val="22"/>
          <w:szCs w:val="22"/>
        </w:rPr>
        <w:t xml:space="preserve">: grids over p and n; Gaussian, heavy-tailed (e.g. t_ν), and non-elliptical (e.g. Exp) settings; report empirical FDR and power.</w:t>
      </w:r>
    </w:p>
    <w:p>
      <w:pPr>
        <w:pStyle w:val="ListParagraph"/>
        <w:numPr>
          <w:ilvl w:val="0"/>
          <w:numId w:val="2"/>
        </w:numPr>
        <w:spacing w:after="140"/>
      </w:pPr>
      <w:r>
        <w:rPr>
          <w:b/>
          <w:bCs/>
          <w:sz w:val="22"/>
          <w:szCs w:val="22"/>
        </w:rPr>
        <w:t xml:space="preserve">Real-data example</w:t>
      </w:r>
      <w:r>
        <w:rPr>
          <w:sz w:val="22"/>
          <w:szCs w:val="22"/>
        </w:rPr>
        <w:t xml:space="preserve">: prostate gene-expression replication (select genes as in the paper; compare significant edge counts and sparsity).</w:t>
      </w:r>
    </w:p>
    <w:p>
      <w:pPr>
        <w:spacing w:after="120" w:before="120"/>
      </w:pPr>
      <w:r>
        <w:rPr>
          <w:b/>
          <w:bCs/>
          <w:sz w:val="22"/>
          <w:szCs w:val="22"/>
        </w:rPr>
        <w:t xml:space="preserve">Planned outputs (Week 1–3):</w:t>
      </w:r>
    </w:p>
    <w:p>
      <w:pPr>
        <w:pStyle w:val="ListParagraph"/>
        <w:numPr>
          <w:ilvl w:val="0"/>
          <w:numId w:val="1"/>
        </w:numPr>
        <w:spacing w:after="60"/>
      </w:pPr>
      <w:r>
        <w:rPr>
          <w:b/>
          <w:bCs/>
          <w:sz w:val="22"/>
          <w:szCs w:val="22"/>
        </w:rPr>
        <w:t xml:space="preserve">A replication note (4–6 pp.) </w:t>
      </w:r>
      <w:r>
        <w:rPr>
          <w:sz w:val="22"/>
          <w:szCs w:val="22"/>
        </w:rPr>
        <w:t xml:space="preserve">with methods, tables (FDR/Power), and one real-data figure.</w:t>
      </w:r>
    </w:p>
    <w:p>
      <w:pPr>
        <w:pStyle w:val="ListParagraph"/>
        <w:numPr>
          <w:ilvl w:val="0"/>
          <w:numId w:val="1"/>
        </w:numPr>
        <w:spacing w:after="60"/>
      </w:pPr>
      <w:r>
        <w:rPr>
          <w:b/>
          <w:bCs/>
          <w:sz w:val="22"/>
          <w:szCs w:val="22"/>
        </w:rPr>
        <w:t xml:space="preserve">Clean notebooks + CSVs + plots </w:t>
      </w:r>
      <w:r>
        <w:rPr>
          <w:sz w:val="22"/>
          <w:szCs w:val="22"/>
        </w:rPr>
        <w:t xml:space="preserve">in results/.</w:t>
      </w:r>
    </w:p>
    <w:p>
      <w:pPr>
        <w:pStyle w:val="ListParagraph"/>
        <w:numPr>
          <w:ilvl w:val="0"/>
          <w:numId w:val="1"/>
        </w:numPr>
        <w:spacing w:after="140"/>
      </w:pPr>
      <w:r>
        <w:rPr>
          <w:b/>
          <w:bCs/>
          <w:sz w:val="22"/>
          <w:szCs w:val="22"/>
        </w:rPr>
        <w:t xml:space="preserve">A runtime profile </w:t>
      </w:r>
      <w:r>
        <w:rPr>
          <w:sz w:val="22"/>
          <w:szCs w:val="22"/>
        </w:rPr>
        <w:t xml:space="preserve">vs. p, n, B to inform later acceleration.</w:t>
      </w:r>
    </w:p>
    <w:p>
      <w:pPr>
        <w:spacing w:after="140" w:before="280"/>
      </w:pPr>
      <w:r>
        <w:rPr>
          <w:b/>
          <w:bCs/>
          <w:sz w:val="26"/>
          <w:szCs w:val="26"/>
        </w:rPr>
        <w:t xml:space="preserve">10.3 How the Papers Fit Together (execution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900"/>
        <w:gridCol w:w="2700"/>
      </w:tblGrid>
      <w:tr>
        <w:tc>
          <w:tcPr>
            <w:tcW w:type="dxa" w:w="1900"/>
            <w:shd w:fill="E7E6E6" w:val="clear"/>
            <w:tcMar>
              <w:top w:type="dxa" w:w="60"/>
              <w:left w:type="dxa" w:w="100"/>
              <w:bottom w:type="dxa" w:w="60"/>
              <w:right w:type="dxa" w:w="100"/>
            </w:tcMar>
          </w:tcPr>
          <w:p>
            <w:pPr>
              <w:spacing w:after="0"/>
            </w:pPr>
            <w:r>
              <w:rPr>
                <w:b/>
                <w:bCs/>
                <w:sz w:val="19"/>
                <w:szCs w:val="19"/>
              </w:rPr>
              <w:t xml:space="preserve">Stage</w:t>
            </w:r>
          </w:p>
        </w:tc>
        <w:tc>
          <w:tcPr>
            <w:tcW w:type="dxa" w:w="1300"/>
            <w:shd w:fill="E7E6E6" w:val="clear"/>
            <w:tcMar>
              <w:top w:type="dxa" w:w="60"/>
              <w:left w:type="dxa" w:w="100"/>
              <w:bottom w:type="dxa" w:w="60"/>
              <w:right w:type="dxa" w:w="100"/>
            </w:tcMar>
          </w:tcPr>
          <w:p>
            <w:pPr>
              <w:spacing w:after="0"/>
            </w:pPr>
            <w:r>
              <w:rPr>
                <w:b/>
                <w:bCs/>
                <w:sz w:val="19"/>
                <w:szCs w:val="19"/>
              </w:rPr>
              <w:t xml:space="preserve">Paper</w:t>
            </w:r>
          </w:p>
        </w:tc>
        <w:tc>
          <w:tcPr>
            <w:tcW w:type="dxa" w:w="3900"/>
            <w:shd w:fill="E7E6E6" w:val="clear"/>
            <w:tcMar>
              <w:top w:type="dxa" w:w="60"/>
              <w:left w:type="dxa" w:w="100"/>
              <w:bottom w:type="dxa" w:w="60"/>
              <w:right w:type="dxa" w:w="100"/>
            </w:tcMar>
          </w:tcPr>
          <w:p>
            <w:pPr>
              <w:spacing w:after="0"/>
            </w:pPr>
            <w:r>
              <w:rPr>
                <w:b/>
                <w:bCs/>
                <w:sz w:val="19"/>
                <w:szCs w:val="19"/>
              </w:rPr>
              <w:t xml:space="preserve">Role in pipeline</w:t>
            </w:r>
          </w:p>
        </w:tc>
        <w:tc>
          <w:tcPr>
            <w:tcW w:type="dxa" w:w="2700"/>
            <w:shd w:fill="E7E6E6" w:val="clear"/>
            <w:tcMar>
              <w:top w:type="dxa" w:w="60"/>
              <w:left w:type="dxa" w:w="100"/>
              <w:bottom w:type="dxa" w:w="60"/>
              <w:right w:type="dxa" w:w="100"/>
            </w:tcMar>
          </w:tcPr>
          <w:p>
            <w:pPr>
              <w:spacing w:after="0"/>
            </w:pPr>
            <w:r>
              <w:rPr>
                <w:b/>
                <w:bCs/>
                <w:sz w:val="19"/>
                <w:szCs w:val="19"/>
              </w:rPr>
              <w:t xml:space="preserve">When used</w:t>
            </w:r>
          </w:p>
        </w:tc>
      </w:tr>
      <w:tr>
        <w:tc>
          <w:tcPr>
            <w:tcW w:type="dxa" w:w="1900"/>
            <w:tcMar>
              <w:top w:type="dxa" w:w="60"/>
              <w:left w:type="dxa" w:w="100"/>
              <w:bottom w:type="dxa" w:w="60"/>
              <w:right w:type="dxa" w:w="100"/>
            </w:tcMar>
          </w:tcPr>
          <w:p>
            <w:pPr>
              <w:spacing w:after="0"/>
            </w:pPr>
            <w:r>
              <w:rPr>
                <w:b w:val="false"/>
                <w:bCs w:val="false"/>
                <w:sz w:val="19"/>
                <w:szCs w:val="19"/>
              </w:rPr>
              <w:t xml:space="preserve">Global detection</w:t>
            </w:r>
          </w:p>
        </w:tc>
        <w:tc>
          <w:tcPr>
            <w:tcW w:type="dxa" w:w="1300"/>
            <w:tcMar>
              <w:top w:type="dxa" w:w="60"/>
              <w:left w:type="dxa" w:w="100"/>
              <w:bottom w:type="dxa" w:w="60"/>
              <w:right w:type="dxa" w:w="100"/>
            </w:tcMar>
          </w:tcPr>
          <w:p>
            <w:pPr>
              <w:spacing w:after="0"/>
            </w:pPr>
            <w:r>
              <w:rPr>
                <w:b/>
                <w:bCs/>
                <w:sz w:val="19"/>
                <w:szCs w:val="19"/>
              </w:rPr>
              <w:t xml:space="preserve">[P3]</w:t>
            </w:r>
          </w:p>
        </w:tc>
        <w:tc>
          <w:tcPr>
            <w:tcW w:type="dxa" w:w="3900"/>
            <w:tcMar>
              <w:top w:type="dxa" w:w="60"/>
              <w:left w:type="dxa" w:w="100"/>
              <w:bottom w:type="dxa" w:w="60"/>
              <w:right w:type="dxa" w:w="100"/>
            </w:tcMar>
          </w:tcPr>
          <w:p>
            <w:pPr>
              <w:spacing w:after="0"/>
            </w:pPr>
            <w:r>
              <w:rPr>
                <w:b w:val="false"/>
                <w:bCs w:val="false"/>
                <w:sz w:val="19"/>
                <w:szCs w:val="19"/>
              </w:rPr>
              <w:t xml:space="preserve">Says if correlation structures differ across groups (2 or K)</w:t>
            </w:r>
          </w:p>
        </w:tc>
        <w:tc>
          <w:tcPr>
            <w:tcW w:type="dxa" w:w="2700"/>
            <w:tcMar>
              <w:top w:type="dxa" w:w="60"/>
              <w:left w:type="dxa" w:w="100"/>
              <w:bottom w:type="dxa" w:w="60"/>
              <w:right w:type="dxa" w:w="100"/>
            </w:tcMar>
          </w:tcPr>
          <w:p>
            <w:pPr>
              <w:spacing w:after="0"/>
            </w:pPr>
            <w:r>
              <w:rPr>
                <w:b w:val="false"/>
                <w:bCs w:val="false"/>
                <w:sz w:val="19"/>
                <w:szCs w:val="19"/>
              </w:rPr>
              <w:t xml:space="preserve">After LCT replication is stable</w:t>
            </w:r>
          </w:p>
        </w:tc>
      </w:tr>
      <w:tr>
        <w:tc>
          <w:tcPr>
            <w:tcW w:type="dxa" w:w="1900"/>
            <w:tcMar>
              <w:top w:type="dxa" w:w="60"/>
              <w:left w:type="dxa" w:w="100"/>
              <w:bottom w:type="dxa" w:w="60"/>
              <w:right w:type="dxa" w:w="100"/>
            </w:tcMar>
          </w:tcPr>
          <w:p>
            <w:pPr>
              <w:spacing w:after="0"/>
            </w:pPr>
            <w:r>
              <w:rPr>
                <w:b w:val="false"/>
                <w:bCs w:val="false"/>
                <w:sz w:val="19"/>
                <w:szCs w:val="19"/>
              </w:rPr>
              <w:t xml:space="preserve">Edge-level discovery</w:t>
            </w:r>
          </w:p>
        </w:tc>
        <w:tc>
          <w:tcPr>
            <w:tcW w:type="dxa" w:w="1300"/>
            <w:tcMar>
              <w:top w:type="dxa" w:w="60"/>
              <w:left w:type="dxa" w:w="100"/>
              <w:bottom w:type="dxa" w:w="60"/>
              <w:right w:type="dxa" w:w="100"/>
            </w:tcMar>
          </w:tcPr>
          <w:p>
            <w:pPr>
              <w:spacing w:after="0"/>
            </w:pPr>
            <w:r>
              <w:rPr>
                <w:b/>
                <w:bCs/>
                <w:sz w:val="19"/>
                <w:szCs w:val="19"/>
              </w:rPr>
              <w:t xml:space="preserve">[P1]</w:t>
            </w:r>
          </w:p>
        </w:tc>
        <w:tc>
          <w:tcPr>
            <w:tcW w:type="dxa" w:w="3900"/>
            <w:tcMar>
              <w:top w:type="dxa" w:w="60"/>
              <w:left w:type="dxa" w:w="100"/>
              <w:bottom w:type="dxa" w:w="60"/>
              <w:right w:type="dxa" w:w="100"/>
            </w:tcMar>
          </w:tcPr>
          <w:p>
            <w:pPr>
              <w:spacing w:after="0"/>
            </w:pPr>
            <w:r>
              <w:rPr>
                <w:b w:val="false"/>
                <w:bCs w:val="false"/>
                <w:sz w:val="19"/>
                <w:szCs w:val="19"/>
              </w:rPr>
              <w:t xml:space="preserve">Finds which edges differ, with FDR control (LCT-N/B)</w:t>
            </w:r>
          </w:p>
        </w:tc>
        <w:tc>
          <w:tcPr>
            <w:tcW w:type="dxa" w:w="2700"/>
            <w:tcMar>
              <w:top w:type="dxa" w:w="60"/>
              <w:left w:type="dxa" w:w="100"/>
              <w:bottom w:type="dxa" w:w="60"/>
              <w:right w:type="dxa" w:w="100"/>
            </w:tcMar>
          </w:tcPr>
          <w:p>
            <w:pPr>
              <w:spacing w:after="0"/>
            </w:pPr>
            <w:r>
              <w:rPr>
                <w:b w:val="false"/>
                <w:bCs w:val="false"/>
                <w:sz w:val="19"/>
                <w:szCs w:val="19"/>
              </w:rPr>
              <w:t xml:space="preserve">Current focus</w:t>
            </w:r>
          </w:p>
        </w:tc>
      </w:tr>
      <w:tr>
        <w:tc>
          <w:tcPr>
            <w:tcW w:type="dxa" w:w="1900"/>
            <w:tcMar>
              <w:top w:type="dxa" w:w="60"/>
              <w:left w:type="dxa" w:w="100"/>
              <w:bottom w:type="dxa" w:w="60"/>
              <w:right w:type="dxa" w:w="100"/>
            </w:tcMar>
          </w:tcPr>
          <w:p>
            <w:pPr>
              <w:spacing w:after="0"/>
            </w:pPr>
            <w:r>
              <w:rPr>
                <w:b w:val="false"/>
                <w:bCs w:val="false"/>
                <w:sz w:val="19"/>
                <w:szCs w:val="19"/>
              </w:rPr>
              <w:t xml:space="preserve">Subset guarantees</w:t>
            </w:r>
          </w:p>
        </w:tc>
        <w:tc>
          <w:tcPr>
            <w:tcW w:type="dxa" w:w="1300"/>
            <w:tcMar>
              <w:top w:type="dxa" w:w="60"/>
              <w:left w:type="dxa" w:w="100"/>
              <w:bottom w:type="dxa" w:w="60"/>
              <w:right w:type="dxa" w:w="100"/>
            </w:tcMar>
          </w:tcPr>
          <w:p>
            <w:pPr>
              <w:spacing w:after="0"/>
            </w:pPr>
            <w:r>
              <w:rPr>
                <w:b/>
                <w:bCs/>
                <w:sz w:val="19"/>
                <w:szCs w:val="19"/>
              </w:rPr>
              <w:t xml:space="preserve">[P2]</w:t>
            </w:r>
          </w:p>
        </w:tc>
        <w:tc>
          <w:tcPr>
            <w:tcW w:type="dxa" w:w="3900"/>
            <w:tcMar>
              <w:top w:type="dxa" w:w="60"/>
              <w:left w:type="dxa" w:w="100"/>
              <w:bottom w:type="dxa" w:w="60"/>
              <w:right w:type="dxa" w:w="100"/>
            </w:tcMar>
          </w:tcPr>
          <w:p>
            <w:pPr>
              <w:spacing w:after="0"/>
            </w:pPr>
            <w:r>
              <w:rPr>
                <w:b w:val="false"/>
                <w:bCs w:val="false"/>
                <w:sz w:val="19"/>
                <w:szCs w:val="19"/>
              </w:rPr>
              <w:t xml:space="preserve">Certifies ≥ k true discoveries in any subset (modules / ROIs)</w:t>
            </w:r>
          </w:p>
        </w:tc>
        <w:tc>
          <w:tcPr>
            <w:tcW w:type="dxa" w:w="2700"/>
            <w:tcMar>
              <w:top w:type="dxa" w:w="60"/>
              <w:left w:type="dxa" w:w="100"/>
              <w:bottom w:type="dxa" w:w="60"/>
              <w:right w:type="dxa" w:w="100"/>
            </w:tcMar>
          </w:tcPr>
          <w:p>
            <w:pPr>
              <w:spacing w:after="0"/>
            </w:pPr>
            <w:r>
              <w:rPr>
                <w:b w:val="false"/>
                <w:bCs w:val="false"/>
                <w:sz w:val="19"/>
                <w:szCs w:val="19"/>
              </w:rPr>
              <w:t xml:space="preserve">After edge discoveries exist</w:t>
            </w:r>
          </w:p>
        </w:tc>
      </w:tr>
    </w:tbl>
    <w:p>
      <w:pPr>
        <w:spacing w:after="200" w:before="160"/>
      </w:pPr>
      <w:r>
        <w:rPr>
          <w:b/>
          <w:bCs/>
          <w:sz w:val="22"/>
          <w:szCs w:val="22"/>
        </w:rPr>
        <w:t xml:space="preserve">Takeaway: </w:t>
      </w:r>
      <w:r>
        <w:rPr>
          <w:sz w:val="22"/>
          <w:szCs w:val="22"/>
        </w:rPr>
        <w:t xml:space="preserve">Start by replicating [P1] to ensure the edge-level engine is correct; then add [P3] as a global gate and [P2] to convert findings into certified, interpretable subset claims.</w:t>
      </w:r>
    </w:p>
    <w:p>
      <w:pPr>
        <w:spacing w:after="140" w:before="280"/>
      </w:pPr>
      <w:r>
        <w:rPr>
          <w:b/>
          <w:bCs/>
          <w:sz w:val="26"/>
          <w:szCs w:val="26"/>
        </w:rPr>
        <w:t xml:space="preserve">10.4 Implementation Status</w:t>
      </w:r>
    </w:p>
    <w:p>
      <w:pPr>
        <w:spacing w:after="120" w:before="0"/>
      </w:pPr>
      <w:r>
        <w:rPr>
          <w:sz w:val="22"/>
          <w:szCs w:val="22"/>
        </w:rPr>
        <w:t xml:space="preserve">The edge-level engine described in 10.2 is built and tested. The repository is public at </w:t>
      </w:r>
      <w:r>
        <w:rPr>
          <w:b/>
          <w:bCs/>
          <w:sz w:val="22"/>
          <w:szCs w:val="22"/>
        </w:rPr>
        <w:t xml:space="preserve">github.com/Hrish52/fdr-correlations</w:t>
      </w:r>
      <w:r>
        <w:rPr>
          <w:sz w:val="22"/>
          <w:szCs w:val="22"/>
        </w:rPr>
        <w:t xml:space="preserve">.</w:t>
      </w:r>
    </w:p>
    <w:p>
      <w:pPr>
        <w:pStyle w:val="ListParagraph"/>
        <w:numPr>
          <w:ilvl w:val="0"/>
          <w:numId w:val="1"/>
        </w:numPr>
        <w:spacing w:after="60"/>
      </w:pPr>
      <w:r>
        <w:rPr>
          <w:b/>
          <w:bCs/>
          <w:sz w:val="22"/>
          <w:szCs w:val="22"/>
        </w:rPr>
        <w:t xml:space="preserve">Core modules: </w:t>
      </w:r>
      <w:r>
        <w:rPr>
          <w:sz w:val="22"/>
          <w:szCs w:val="22"/>
        </w:rPr>
        <w:t xml:space="preserve">data generators (Gaussian, t₆, Laplace, exponential, plus the three Cai–Liu Sec. 5.1 constructions); the LCT edge statistic with three variance estimators; LCT-N normal-tail thresholding; LCT-B bootstrap thresholding in two implementations, the second using streaming tail counts to avoid holding a B × M array in memory; Fisher-z + BH/BY baselines.</w:t>
      </w:r>
    </w:p>
    <w:p>
      <w:pPr>
        <w:pStyle w:val="ListParagraph"/>
        <w:numPr>
          <w:ilvl w:val="0"/>
          <w:numId w:val="1"/>
        </w:numPr>
        <w:spacing w:after="60"/>
      </w:pPr>
      <w:r>
        <w:rPr>
          <w:b/>
          <w:bCs/>
          <w:sz w:val="22"/>
          <w:szCs w:val="22"/>
        </w:rPr>
        <w:t xml:space="preserve">Driver scripts: </w:t>
      </w:r>
      <w:r>
        <w:rPr>
          <w:sz w:val="22"/>
          <w:szCs w:val="22"/>
        </w:rPr>
        <w:t xml:space="preserve">full simulation grid, pure-null calibration, power curves over (n, ρ), and robustness ablations across three covariance structures and three variance estimators. All expose command-line grids and write a uniform CSV schema.</w:t>
      </w:r>
    </w:p>
    <w:p>
      <w:pPr>
        <w:pStyle w:val="ListParagraph"/>
        <w:numPr>
          <w:ilvl w:val="0"/>
          <w:numId w:val="1"/>
        </w:numPr>
        <w:spacing w:after="60"/>
      </w:pPr>
      <w:r>
        <w:rPr>
          <w:b/>
          <w:bCs/>
          <w:sz w:val="22"/>
          <w:szCs w:val="22"/>
        </w:rPr>
        <w:t xml:space="preserve">Calibration machinery: </w:t>
      </w:r>
      <w:r>
        <w:rPr>
          <w:sz w:val="22"/>
          <w:szCs w:val="22"/>
        </w:rPr>
        <w:t xml:space="preserve">a defaults file records the chosen bootstrap replication count, winsorization and variance estimator per (p, α), so every driver can be run in a reproducible configuration without re-deriving them.</w:t>
      </w:r>
    </w:p>
    <w:p>
      <w:pPr>
        <w:pStyle w:val="ListParagraph"/>
        <w:numPr>
          <w:ilvl w:val="0"/>
          <w:numId w:val="1"/>
        </w:numPr>
        <w:spacing w:after="60"/>
      </w:pPr>
      <w:r>
        <w:rPr>
          <w:b/>
          <w:bCs/>
          <w:sz w:val="22"/>
          <w:szCs w:val="22"/>
        </w:rPr>
        <w:t xml:space="preserve">Tests: </w:t>
      </w:r>
      <w:r>
        <w:rPr>
          <w:sz w:val="22"/>
          <w:szCs w:val="22"/>
        </w:rPr>
        <w:t xml:space="preserve">generators, statistic correctness, null calibration at zero and non-zero common correlation, cross-implementation equivalence of the two bootstrap routines, and the kurtosis estimator.</w:t>
      </w:r>
    </w:p>
    <w:p>
      <w:pPr>
        <w:pStyle w:val="ListParagraph"/>
        <w:numPr>
          <w:ilvl w:val="0"/>
          <w:numId w:val="1"/>
        </w:numPr>
        <w:spacing w:after="140"/>
      </w:pPr>
      <w:r>
        <w:rPr>
          <w:b/>
          <w:bCs/>
          <w:sz w:val="22"/>
          <w:szCs w:val="22"/>
        </w:rPr>
        <w:t xml:space="preserve">Documentation: </w:t>
      </w:r>
      <w:r>
        <w:rPr>
          <w:sz w:val="22"/>
          <w:szCs w:val="22"/>
        </w:rPr>
        <w:t xml:space="preserve">each non-trivial change is recorded as a short research note describing the defect, the fix, the verification, and what downstream results it invalidates.</w:t>
      </w:r>
    </w:p>
    <w:p>
      <w:pPr>
        <w:spacing w:after="140" w:before="280"/>
      </w:pPr>
      <w:r>
        <w:rPr>
          <w:b/>
          <w:bCs/>
          <w:sz w:val="26"/>
          <w:szCs w:val="26"/>
        </w:rPr>
        <w:t xml:space="preserve">10.5 Code Audit Before Paper-Scale Runs</w:t>
      </w:r>
    </w:p>
    <w:p>
      <w:pPr>
        <w:spacing w:after="120" w:before="0"/>
      </w:pPr>
      <w:r>
        <w:rPr>
          <w:sz w:val="22"/>
          <w:szCs w:val="22"/>
        </w:rPr>
        <w:t xml:space="preserve">Before committing compute to the full grid, the implementation was audited line-by-line against [P1]. Twelve corrections were applied. Three were substantive enough to change conclusions, and are recorded here because each illustrates a failure mode that null-only validation cannot detect.</w:t>
      </w:r>
    </w:p>
    <w:p>
      <w:pPr>
        <w:spacing w:after="100" w:before="180"/>
      </w:pPr>
      <w:r>
        <w:rPr>
          <w:b/>
          <w:bCs/>
          <w:sz w:val="22"/>
          <w:szCs w:val="22"/>
        </w:rPr>
        <w:t xml:space="preserve">(a) The variance estimator did not implement Eq. (4)</w:t>
      </w:r>
    </w:p>
    <w:p>
      <w:pPr>
        <w:spacing w:after="120" w:before="0"/>
      </w:pPr>
      <w:r>
        <w:rPr>
          <w:sz w:val="22"/>
          <w:szCs w:val="22"/>
        </w:rPr>
        <w:t xml:space="preserve">The Cai–Liu branch computed the variance of the product of standardised scores, which for bivariate normal data equals (1 + ρ²)/n, rather than the Eq. (4) quantity κ(1 − ρ²)²/n. The kurtosis parameter κ was never estimated, and the thresholded-correlation substitution that [P1] identifies as the source of the statistic's power advantage was absent.</w:t>
      </w:r>
    </w:p>
    <w:p>
      <w:pPr>
        <w:spacing w:after="120" w:before="0"/>
      </w:pPr>
      <w:r>
        <w:rPr>
          <w:sz w:val="22"/>
          <w:szCs w:val="22"/>
        </w:rPr>
        <w:t xml:space="preserve">The two expressions agree at ρ = 0 and diverge by a factor of 5.7 at ρ = 0.7. Because nulls concentrate near zero correlation and alternatives do not, every null-calibration check passed while power was roughly halved. The defect surfaced only when power results showed LCT losing decisively to the baseline it is meant to beat.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00"/>
      </w:tblGrid>
      <w:tr>
        <w:tc>
          <w:tcPr>
            <w:tcW w:type="dxa" w:w="3200"/>
            <w:shd w:fill="E7E6E6" w:val="clear"/>
            <w:tcMar>
              <w:top w:type="dxa" w:w="60"/>
              <w:left w:type="dxa" w:w="100"/>
              <w:bottom w:type="dxa" w:w="60"/>
              <w:right w:type="dxa" w:w="100"/>
            </w:tcMar>
          </w:tcPr>
          <w:p>
            <w:pPr>
              <w:spacing w:after="0"/>
            </w:pPr>
            <w:r>
              <w:rPr>
                <w:b/>
                <w:bCs/>
                <w:sz w:val="19"/>
                <w:szCs w:val="19"/>
              </w:rPr>
              <w:t xml:space="preserve">p = 250, n = 80, ρ = 0.7, α = 0.05</w:t>
            </w:r>
          </w:p>
        </w:tc>
        <w:tc>
          <w:tcPr>
            <w:tcW w:type="dxa" w:w="2200"/>
            <w:shd w:fill="E7E6E6" w:val="clear"/>
            <w:tcMar>
              <w:top w:type="dxa" w:w="60"/>
              <w:left w:type="dxa" w:w="100"/>
              <w:bottom w:type="dxa" w:w="60"/>
              <w:right w:type="dxa" w:w="100"/>
            </w:tcMar>
          </w:tcPr>
          <w:p>
            <w:pPr>
              <w:spacing w:after="0"/>
            </w:pPr>
            <w:r>
              <w:rPr>
                <w:b/>
                <w:bCs/>
                <w:sz w:val="19"/>
                <w:szCs w:val="19"/>
              </w:rPr>
              <w:t xml:space="preserve">Power</w:t>
            </w:r>
          </w:p>
        </w:tc>
        <w:tc>
          <w:tcPr>
            <w:tcW w:type="dxa" w:w="2200"/>
            <w:shd w:fill="E7E6E6" w:val="clear"/>
            <w:tcMar>
              <w:top w:type="dxa" w:w="60"/>
              <w:left w:type="dxa" w:w="100"/>
              <w:bottom w:type="dxa" w:w="60"/>
              <w:right w:type="dxa" w:w="100"/>
            </w:tcMar>
          </w:tcPr>
          <w:p>
            <w:pPr>
              <w:spacing w:after="0"/>
            </w:pPr>
            <w:r>
              <w:rPr>
                <w:b/>
                <w:bCs/>
                <w:sz w:val="19"/>
                <w:szCs w:val="19"/>
              </w:rPr>
              <w:t xml:space="preserve">FDR / FDP</w:t>
            </w:r>
          </w:p>
        </w:tc>
        <w:tc>
          <w:tcPr>
            <w:tcW w:type="dxa" w:w="2200"/>
            <w:shd w:fill="E7E6E6" w:val="clear"/>
            <w:tcMar>
              <w:top w:type="dxa" w:w="60"/>
              <w:left w:type="dxa" w:w="100"/>
              <w:bottom w:type="dxa" w:w="60"/>
              <w:right w:type="dxa" w:w="100"/>
            </w:tcMar>
          </w:tcPr>
          <w:p>
            <w:pPr>
              <w:spacing w:after="0"/>
            </w:pPr>
            <w:r>
              <w:rPr>
                <w:b/>
                <w:bCs/>
                <w:sz w:val="19"/>
                <w:szCs w:val="19"/>
              </w:rPr>
              <w:t xml:space="preserve">Verdict</w:t>
            </w:r>
          </w:p>
        </w:tc>
      </w:tr>
      <w:tr>
        <w:tc>
          <w:tcPr>
            <w:tcW w:type="dxa" w:w="3200"/>
            <w:tcMar>
              <w:top w:type="dxa" w:w="60"/>
              <w:left w:type="dxa" w:w="100"/>
              <w:bottom w:type="dxa" w:w="60"/>
              <w:right w:type="dxa" w:w="100"/>
            </w:tcMar>
          </w:tcPr>
          <w:p>
            <w:pPr>
              <w:spacing w:after="0"/>
            </w:pPr>
            <w:r>
              <w:rPr>
                <w:b w:val="false"/>
                <w:bCs w:val="false"/>
                <w:sz w:val="19"/>
                <w:szCs w:val="19"/>
              </w:rPr>
              <w:t xml:space="preserve">Fisher-z + BH (baseline)</w:t>
            </w:r>
          </w:p>
        </w:tc>
        <w:tc>
          <w:tcPr>
            <w:tcW w:type="dxa" w:w="2200"/>
            <w:tcMar>
              <w:top w:type="dxa" w:w="60"/>
              <w:left w:type="dxa" w:w="100"/>
              <w:bottom w:type="dxa" w:w="60"/>
              <w:right w:type="dxa" w:w="100"/>
            </w:tcMar>
          </w:tcPr>
          <w:p>
            <w:pPr>
              <w:spacing w:after="0"/>
            </w:pPr>
            <w:r>
              <w:rPr>
                <w:b w:val="false"/>
                <w:bCs w:val="false"/>
                <w:sz w:val="19"/>
                <w:szCs w:val="19"/>
              </w:rPr>
              <w:t xml:space="preserve">0.962</w:t>
            </w:r>
          </w:p>
        </w:tc>
        <w:tc>
          <w:tcPr>
            <w:tcW w:type="dxa" w:w="2200"/>
            <w:tcMar>
              <w:top w:type="dxa" w:w="60"/>
              <w:left w:type="dxa" w:w="100"/>
              <w:bottom w:type="dxa" w:w="60"/>
              <w:right w:type="dxa" w:w="100"/>
            </w:tcMar>
          </w:tcPr>
          <w:p>
            <w:pPr>
              <w:spacing w:after="0"/>
            </w:pPr>
            <w:r>
              <w:rPr>
                <w:b w:val="false"/>
                <w:bCs w:val="false"/>
                <w:sz w:val="19"/>
                <w:szCs w:val="19"/>
              </w:rPr>
              <w:t xml:space="preserve">0.054</w:t>
            </w:r>
          </w:p>
        </w:tc>
        <w:tc>
          <w:tcPr>
            <w:tcW w:type="dxa" w:w="2200"/>
            <w:tcMar>
              <w:top w:type="dxa" w:w="60"/>
              <w:left w:type="dxa" w:w="100"/>
              <w:bottom w:type="dxa" w:w="60"/>
              <w:right w:type="dxa" w:w="100"/>
            </w:tcMar>
          </w:tcPr>
          <w:p>
            <w:pPr>
              <w:spacing w:after="0"/>
            </w:pPr>
            <w:r>
              <w:rPr>
                <w:b w:val="false"/>
                <w:bCs w:val="false"/>
                <w:sz w:val="19"/>
                <w:szCs w:val="19"/>
              </w:rPr>
              <w:t xml:space="preserve">—</w:t>
            </w:r>
          </w:p>
        </w:tc>
      </w:tr>
      <w:tr>
        <w:tc>
          <w:tcPr>
            <w:tcW w:type="dxa" w:w="3200"/>
            <w:tcMar>
              <w:top w:type="dxa" w:w="60"/>
              <w:left w:type="dxa" w:w="100"/>
              <w:bottom w:type="dxa" w:w="60"/>
              <w:right w:type="dxa" w:w="100"/>
            </w:tcMar>
          </w:tcPr>
          <w:p>
            <w:pPr>
              <w:spacing w:after="0"/>
            </w:pPr>
            <w:r>
              <w:rPr>
                <w:b w:val="false"/>
                <w:bCs w:val="false"/>
                <w:sz w:val="19"/>
                <w:szCs w:val="19"/>
              </w:rPr>
              <w:t xml:space="preserve">LCT-N, before correction</w:t>
            </w:r>
          </w:p>
        </w:tc>
        <w:tc>
          <w:tcPr>
            <w:tcW w:type="dxa" w:w="2200"/>
            <w:tcMar>
              <w:top w:type="dxa" w:w="60"/>
              <w:left w:type="dxa" w:w="100"/>
              <w:bottom w:type="dxa" w:w="60"/>
              <w:right w:type="dxa" w:w="100"/>
            </w:tcMar>
          </w:tcPr>
          <w:p>
            <w:pPr>
              <w:spacing w:after="0"/>
            </w:pPr>
            <w:r>
              <w:rPr>
                <w:b w:val="false"/>
                <w:bCs w:val="false"/>
                <w:sz w:val="19"/>
                <w:szCs w:val="19"/>
              </w:rPr>
              <w:t xml:space="preserve">0.656</w:t>
            </w:r>
          </w:p>
        </w:tc>
        <w:tc>
          <w:tcPr>
            <w:tcW w:type="dxa" w:w="2200"/>
            <w:tcMar>
              <w:top w:type="dxa" w:w="60"/>
              <w:left w:type="dxa" w:w="100"/>
              <w:bottom w:type="dxa" w:w="60"/>
              <w:right w:type="dxa" w:w="100"/>
            </w:tcMar>
          </w:tcPr>
          <w:p>
            <w:pPr>
              <w:spacing w:after="0"/>
            </w:pPr>
            <w:r>
              <w:rPr>
                <w:b w:val="false"/>
                <w:bCs w:val="false"/>
                <w:sz w:val="19"/>
                <w:szCs w:val="19"/>
              </w:rPr>
              <w:t xml:space="preserve">0.066</w:t>
            </w:r>
          </w:p>
        </w:tc>
        <w:tc>
          <w:tcPr>
            <w:tcW w:type="dxa" w:w="2200"/>
            <w:tcMar>
              <w:top w:type="dxa" w:w="60"/>
              <w:left w:type="dxa" w:w="100"/>
              <w:bottom w:type="dxa" w:w="60"/>
              <w:right w:type="dxa" w:w="100"/>
            </w:tcMar>
          </w:tcPr>
          <w:p>
            <w:pPr>
              <w:spacing w:after="0"/>
            </w:pPr>
            <w:r>
              <w:rPr>
                <w:b w:val="false"/>
                <w:bCs w:val="false"/>
                <w:sz w:val="19"/>
                <w:szCs w:val="19"/>
              </w:rPr>
              <w:t xml:space="preserve">loses to baseline</w:t>
            </w:r>
          </w:p>
        </w:tc>
      </w:tr>
      <w:tr>
        <w:tc>
          <w:tcPr>
            <w:tcW w:type="dxa" w:w="3200"/>
            <w:tcMar>
              <w:top w:type="dxa" w:w="60"/>
              <w:left w:type="dxa" w:w="100"/>
              <w:bottom w:type="dxa" w:w="60"/>
              <w:right w:type="dxa" w:w="100"/>
            </w:tcMar>
          </w:tcPr>
          <w:p>
            <w:pPr>
              <w:spacing w:after="0"/>
            </w:pPr>
            <w:r>
              <w:rPr>
                <w:b w:val="false"/>
                <w:bCs w:val="false"/>
                <w:sz w:val="19"/>
                <w:szCs w:val="19"/>
              </w:rPr>
              <w:t xml:space="preserve">LCT-N, after correction</w:t>
            </w:r>
          </w:p>
        </w:tc>
        <w:tc>
          <w:tcPr>
            <w:tcW w:type="dxa" w:w="2200"/>
            <w:tcMar>
              <w:top w:type="dxa" w:w="60"/>
              <w:left w:type="dxa" w:w="100"/>
              <w:bottom w:type="dxa" w:w="60"/>
              <w:right w:type="dxa" w:w="100"/>
            </w:tcMar>
          </w:tcPr>
          <w:p>
            <w:pPr>
              <w:spacing w:after="0"/>
            </w:pPr>
            <w:r>
              <w:rPr>
                <w:b w:val="false"/>
                <w:bCs w:val="false"/>
                <w:sz w:val="19"/>
                <w:szCs w:val="19"/>
              </w:rPr>
              <w:t xml:space="preserve">1.000</w:t>
            </w:r>
          </w:p>
        </w:tc>
        <w:tc>
          <w:tcPr>
            <w:tcW w:type="dxa" w:w="2200"/>
            <w:tcMar>
              <w:top w:type="dxa" w:w="60"/>
              <w:left w:type="dxa" w:w="100"/>
              <w:bottom w:type="dxa" w:w="60"/>
              <w:right w:type="dxa" w:w="100"/>
            </w:tcMar>
          </w:tcPr>
          <w:p>
            <w:pPr>
              <w:spacing w:after="0"/>
            </w:pPr>
            <w:r>
              <w:rPr>
                <w:b w:val="false"/>
                <w:bCs w:val="false"/>
                <w:sz w:val="19"/>
                <w:szCs w:val="19"/>
              </w:rPr>
              <w:t xml:space="preserve">0.050</w:t>
            </w:r>
          </w:p>
        </w:tc>
        <w:tc>
          <w:tcPr>
            <w:tcW w:type="dxa" w:w="2200"/>
            <w:tcMar>
              <w:top w:type="dxa" w:w="60"/>
              <w:left w:type="dxa" w:w="100"/>
              <w:bottom w:type="dxa" w:w="60"/>
              <w:right w:type="dxa" w:w="100"/>
            </w:tcMar>
          </w:tcPr>
          <w:p>
            <w:pPr>
              <w:spacing w:after="0"/>
            </w:pPr>
            <w:r>
              <w:rPr>
                <w:b w:val="false"/>
                <w:bCs w:val="false"/>
                <w:sz w:val="19"/>
                <w:szCs w:val="19"/>
              </w:rPr>
              <w:t xml:space="preserve">beats baseline</w:t>
            </w:r>
          </w:p>
        </w:tc>
      </w:tr>
    </w:tbl>
    <w:p>
      <w:pPr>
        <w:spacing w:after="120" w:before="120"/>
      </w:pPr>
      <w:r>
        <w:rPr>
          <w:sz w:val="22"/>
          <w:szCs w:val="22"/>
        </w:rPr>
        <w:t xml:space="preserve">A second error was introduced and caught during the same fix: the sparsity threshold was initially applied on the raw-correlation scale rather than the standardised one, differing by a factor of √n. That admitted roughly sixty percent of null edges into the thresholded set and produced a four-fold FDR violation. Both scales are documented in the corresponding note.</w:t>
      </w:r>
    </w:p>
    <w:p>
      <w:pPr>
        <w:spacing w:after="100" w:before="180"/>
      </w:pPr>
      <w:r>
        <w:rPr>
          <w:b/>
          <w:bCs/>
          <w:sz w:val="22"/>
          <w:szCs w:val="22"/>
        </w:rPr>
        <w:t xml:space="preserve">(b) The simulation grid had no detectable signal</w:t>
      </w:r>
    </w:p>
    <w:p>
      <w:pPr>
        <w:spacing w:after="120" w:before="0"/>
      </w:pPr>
      <w:r>
        <w:rPr>
          <w:sz w:val="22"/>
          <w:szCs w:val="22"/>
        </w:rPr>
        <w:t xml:space="preserve">The hardcoded correlation strengths placed the expected test statistic for a true edge roughly two units below the smallest threshold capable of controlling FDR at the nominal level. Every method — LCT-N, LCT-B, and both Fisher-z baselines — would have returned zero rejections, producing flat power curves that compare nothing.</w:t>
      </w:r>
    </w:p>
    <w:p>
      <w:pPr>
        <w:spacing w:after="120" w:before="0"/>
      </w:pPr>
      <w:r>
        <w:rPr>
          <w:sz w:val="22"/>
          <w:szCs w:val="22"/>
        </w:rPr>
        <w:t xml:space="preserve">The two governing quantities are the achievable signal, E|T| ≈ ρ√n ⁄ √(2 + ρ²), and the required threshold, t_req = Φ⁻¹(1 − α m₁ ⁄ 2M), where M is the number of edges tested and m₁ the number of true edges. The second grows with dimension while the first does not, so detectability must be checked before a grid is run. A short tool now performs that check, and the grid was revised to place configurations in the informative band.</w:t>
      </w:r>
    </w:p>
    <w:p>
      <w:pPr>
        <w:spacing w:after="100" w:before="180"/>
      </w:pPr>
      <w:r>
        <w:rPr>
          <w:b/>
          <w:bCs/>
          <w:sz w:val="22"/>
          <w:szCs w:val="22"/>
        </w:rPr>
        <w:t xml:space="preserve">(c) The non-Gaussian generators did not violate the condition they were meant to test</w:t>
      </w:r>
    </w:p>
    <w:p>
      <w:pPr>
        <w:spacing w:after="120" w:before="0"/>
      </w:pPr>
      <w:r>
        <w:rPr>
          <w:sz w:val="22"/>
          <w:szCs w:val="22"/>
        </w:rPr>
        <w:t xml:space="preserve">The t sampler was the standard multivariate t, which is elliptical, and the Laplace and exponential samplers used a Gaussian copula. All three therefore satisfy the moment condition under which [P1]'s theory holds. [P1] instead constructs data as Σ^{1/2}Z with independent non-normal components, which is not elliptical.</w:t>
      </w:r>
    </w:p>
    <w:p>
      <w:pPr>
        <w:spacing w:after="120" w:before="0"/>
      </w:pPr>
      <w:r>
        <w:rPr>
          <w:sz w:val="22"/>
          <w:szCs w:val="22"/>
        </w:rPr>
        <w:t xml:space="preserve">The consequence was visible in the output: the Fisher-z baseline showed a false discovery rate of zero on t and exponential data, where [P1] reports between 0.32 and 0.99. The baseline was never being stressed, so there was nothing for LCT to be robust against. The three Sec. 5.1 constructions have been added, including the uniform-scale normal mixture — elliptical, but with κ = 9/5 rather than 1, which is the cleanest available demonstration of the mechanism by which LCT outperforms Fisher-z.</w:t>
      </w:r>
    </w:p>
    <w:p>
      <w:pPr>
        <w:spacing w:after="100" w:before="180"/>
      </w:pPr>
      <w:r>
        <w:rPr>
          <w:b/>
          <w:bCs/>
          <w:sz w:val="22"/>
          <w:szCs w:val="22"/>
        </w:rPr>
        <w:t xml:space="preserve">(d) Remaining corrections</w:t>
      </w:r>
    </w:p>
    <w:p>
      <w:pPr>
        <w:pStyle w:val="ListParagraph"/>
        <w:numPr>
          <w:ilvl w:val="0"/>
          <w:numId w:val="1"/>
        </w:numPr>
        <w:spacing w:after="60"/>
      </w:pPr>
      <w:r>
        <w:rPr>
          <w:sz w:val="22"/>
          <w:szCs w:val="22"/>
        </w:rPr>
        <w:t xml:space="preserve">Threshold selection differed between the normal-tail and bootstrap routines: one returned the infimum of the qualifying set as [P1] specifies, the other the supremum. Rejection sets were unaffected but reported thresholds were not comparable across methods.</w:t>
      </w:r>
    </w:p>
    <w:p>
      <w:pPr>
        <w:pStyle w:val="ListParagraph"/>
        <w:numPr>
          <w:ilvl w:val="0"/>
          <w:numId w:val="1"/>
        </w:numPr>
        <w:spacing w:after="60"/>
      </w:pPr>
      <w:r>
        <w:rPr>
          <w:sz w:val="22"/>
          <w:szCs w:val="22"/>
        </w:rPr>
        <w:t xml:space="preserve">Null calibration drew the reference group from a Gaussian regardless of the requested marginal family, so non-Gaussian null runs tested a mixed-marginal scenario rather than the stated hypothesis.</w:t>
      </w:r>
    </w:p>
    <w:p>
      <w:pPr>
        <w:pStyle w:val="ListParagraph"/>
        <w:numPr>
          <w:ilvl w:val="0"/>
          <w:numId w:val="1"/>
        </w:numPr>
        <w:spacing w:after="60"/>
      </w:pPr>
      <w:r>
        <w:rPr>
          <w:sz w:val="22"/>
          <w:szCs w:val="22"/>
        </w:rPr>
        <w:t xml:space="preserve">Two performance defects: the threshold scan was quadratic in the number of edges, dominating runtime at p = 500; and the bootstrap was recomputed once per significance level despite not depending on it.</w:t>
      </w:r>
    </w:p>
    <w:p>
      <w:pPr>
        <w:pStyle w:val="ListParagraph"/>
        <w:numPr>
          <w:ilvl w:val="0"/>
          <w:numId w:val="1"/>
        </w:numPr>
        <w:spacing w:after="60"/>
      </w:pPr>
      <w:r>
        <w:rPr>
          <w:sz w:val="22"/>
          <w:szCs w:val="22"/>
        </w:rPr>
        <w:t xml:space="preserve">A grid-coarsening option intended to accelerate large problems silently eliminated all rejections at p ≥ 500, because the uniform quantile grid could not reach the extreme upper tail where the threshold lies.</w:t>
      </w:r>
    </w:p>
    <w:p>
      <w:pPr>
        <w:pStyle w:val="ListParagraph"/>
        <w:numPr>
          <w:ilvl w:val="0"/>
          <w:numId w:val="1"/>
        </w:numPr>
        <w:spacing w:after="140"/>
      </w:pPr>
      <w:r>
        <w:rPr>
          <w:sz w:val="22"/>
          <w:szCs w:val="22"/>
        </w:rPr>
        <w:t xml:space="preserve">Repository quality: pinned dependencies, an environment record, contiguous notebook numbering, and full project documentation.</w:t>
      </w:r>
    </w:p>
    <w:p>
      <w:pPr>
        <w:spacing w:after="140" w:before="280"/>
      </w:pPr>
      <w:r>
        <w:rPr>
          <w:b/>
          <w:bCs/>
          <w:sz w:val="26"/>
          <w:szCs w:val="26"/>
        </w:rPr>
        <w:t xml:space="preserve">10.6 Revised Simulation Design</w:t>
      </w:r>
    </w:p>
    <w:p>
      <w:pPr>
        <w:spacing w:after="120" w:before="0"/>
      </w:pPr>
      <w:r>
        <w:rPr>
          <w:sz w:val="22"/>
          <w:szCs w:val="22"/>
        </w:rPr>
        <w:t xml:space="preserve">Following the audit, configurations are selected so that the expected statistic for a true edge sits between roughly 0.3 and 1.2 units above the required threshold — high enough to have real power, low enough not to saturate at one for every method.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2900"/>
        <w:gridCol w:w="2400"/>
      </w:tblGrid>
      <w:tr>
        <w:tc>
          <w:tcPr>
            <w:tcW w:type="dxa" w:w="1400"/>
            <w:shd w:fill="E7E6E6" w:val="clear"/>
            <w:tcMar>
              <w:top w:type="dxa" w:w="60"/>
              <w:left w:type="dxa" w:w="100"/>
              <w:bottom w:type="dxa" w:w="60"/>
              <w:right w:type="dxa" w:w="100"/>
            </w:tcMar>
          </w:tcPr>
          <w:p>
            <w:pPr>
              <w:spacing w:after="0"/>
            </w:pPr>
            <w:r>
              <w:rPr>
                <w:b/>
                <w:bCs/>
                <w:sz w:val="19"/>
                <w:szCs w:val="19"/>
              </w:rPr>
              <w:t xml:space="preserve">p</w:t>
            </w:r>
          </w:p>
        </w:tc>
        <w:tc>
          <w:tcPr>
            <w:tcW w:type="dxa" w:w="1600"/>
            <w:shd w:fill="E7E6E6" w:val="clear"/>
            <w:tcMar>
              <w:top w:type="dxa" w:w="60"/>
              <w:left w:type="dxa" w:w="100"/>
              <w:bottom w:type="dxa" w:w="60"/>
              <w:right w:type="dxa" w:w="100"/>
            </w:tcMar>
          </w:tcPr>
          <w:p>
            <w:pPr>
              <w:spacing w:after="0"/>
            </w:pPr>
            <w:r>
              <w:rPr>
                <w:b/>
                <w:bCs/>
                <w:sz w:val="19"/>
                <w:szCs w:val="19"/>
              </w:rPr>
              <w:t xml:space="preserve">n₁ = n₂</w:t>
            </w:r>
          </w:p>
        </w:tc>
        <w:tc>
          <w:tcPr>
            <w:tcW w:type="dxa" w:w="1500"/>
            <w:shd w:fill="E7E6E6" w:val="clear"/>
            <w:tcMar>
              <w:top w:type="dxa" w:w="60"/>
              <w:left w:type="dxa" w:w="100"/>
              <w:bottom w:type="dxa" w:w="60"/>
              <w:right w:type="dxa" w:w="100"/>
            </w:tcMar>
          </w:tcPr>
          <w:p>
            <w:pPr>
              <w:spacing w:after="0"/>
            </w:pPr>
            <w:r>
              <w:rPr>
                <w:b/>
                <w:bCs/>
                <w:sz w:val="19"/>
                <w:szCs w:val="19"/>
              </w:rPr>
              <w:t xml:space="preserve">block</w:t>
            </w:r>
          </w:p>
        </w:tc>
        <w:tc>
          <w:tcPr>
            <w:tcW w:type="dxa" w:w="2900"/>
            <w:shd w:fill="E7E6E6" w:val="clear"/>
            <w:tcMar>
              <w:top w:type="dxa" w:w="60"/>
              <w:left w:type="dxa" w:w="100"/>
              <w:bottom w:type="dxa" w:w="60"/>
              <w:right w:type="dxa" w:w="100"/>
            </w:tcMar>
          </w:tcPr>
          <w:p>
            <w:pPr>
              <w:spacing w:after="0"/>
            </w:pPr>
            <w:r>
              <w:rPr>
                <w:b/>
                <w:bCs/>
                <w:sz w:val="19"/>
                <w:szCs w:val="19"/>
              </w:rPr>
              <w:t xml:space="preserve">ρ sweep</w:t>
            </w:r>
          </w:p>
        </w:tc>
        <w:tc>
          <w:tcPr>
            <w:tcW w:type="dxa" w:w="2400"/>
            <w:shd w:fill="E7E6E6" w:val="clear"/>
            <w:tcMar>
              <w:top w:type="dxa" w:w="60"/>
              <w:left w:type="dxa" w:w="100"/>
              <w:bottom w:type="dxa" w:w="60"/>
              <w:right w:type="dxa" w:w="100"/>
            </w:tcMar>
          </w:tcPr>
          <w:p>
            <w:pPr>
              <w:spacing w:after="0"/>
            </w:pPr>
            <w:r>
              <w:rPr>
                <w:b/>
                <w:bCs/>
                <w:sz w:val="19"/>
                <w:szCs w:val="19"/>
              </w:rPr>
              <w:t xml:space="preserve">Required threshold</w:t>
            </w:r>
          </w:p>
        </w:tc>
      </w:tr>
      <w:tr>
        <w:tc>
          <w:tcPr>
            <w:tcW w:type="dxa" w:w="1400"/>
            <w:tcMar>
              <w:top w:type="dxa" w:w="60"/>
              <w:left w:type="dxa" w:w="100"/>
              <w:bottom w:type="dxa" w:w="60"/>
              <w:right w:type="dxa" w:w="100"/>
            </w:tcMar>
          </w:tcPr>
          <w:p>
            <w:pPr>
              <w:spacing w:after="0"/>
            </w:pPr>
            <w:r>
              <w:rPr>
                <w:b w:val="false"/>
                <w:bCs w:val="false"/>
                <w:sz w:val="19"/>
                <w:szCs w:val="19"/>
              </w:rPr>
              <w:t xml:space="preserve">250</w:t>
            </w:r>
          </w:p>
        </w:tc>
        <w:tc>
          <w:tcPr>
            <w:tcW w:type="dxa" w:w="1600"/>
            <w:tcMar>
              <w:top w:type="dxa" w:w="60"/>
              <w:left w:type="dxa" w:w="100"/>
              <w:bottom w:type="dxa" w:w="60"/>
              <w:right w:type="dxa" w:w="100"/>
            </w:tcMar>
          </w:tcPr>
          <w:p>
            <w:pPr>
              <w:spacing w:after="0"/>
            </w:pPr>
            <w:r>
              <w:rPr>
                <w:b w:val="false"/>
                <w:bCs w:val="false"/>
                <w:sz w:val="19"/>
                <w:szCs w:val="19"/>
              </w:rPr>
              <w:t xml:space="preserve">80</w:t>
            </w:r>
          </w:p>
        </w:tc>
        <w:tc>
          <w:tcPr>
            <w:tcW w:type="dxa" w:w="1500"/>
            <w:tcMar>
              <w:top w:type="dxa" w:w="60"/>
              <w:left w:type="dxa" w:w="100"/>
              <w:bottom w:type="dxa" w:w="60"/>
              <w:right w:type="dxa" w:w="100"/>
            </w:tcMar>
          </w:tcPr>
          <w:p>
            <w:pPr>
              <w:spacing w:after="0"/>
            </w:pPr>
            <w:r>
              <w:rPr>
                <w:b w:val="false"/>
                <w:bCs w:val="false"/>
                <w:sz w:val="19"/>
                <w:szCs w:val="19"/>
              </w:rPr>
              <w:t xml:space="preserve">20</w:t>
            </w:r>
          </w:p>
        </w:tc>
        <w:tc>
          <w:tcPr>
            <w:tcW w:type="dxa" w:w="2900"/>
            <w:tcMar>
              <w:top w:type="dxa" w:w="60"/>
              <w:left w:type="dxa" w:w="100"/>
              <w:bottom w:type="dxa" w:w="60"/>
              <w:right w:type="dxa" w:w="100"/>
            </w:tcMar>
          </w:tcPr>
          <w:p>
            <w:pPr>
              <w:spacing w:after="0"/>
            </w:pPr>
            <w:r>
              <w:rPr>
                <w:b w:val="false"/>
                <w:bCs w:val="false"/>
                <w:sz w:val="19"/>
                <w:szCs w:val="19"/>
              </w:rPr>
              <w:t xml:space="preserve">0.50, 0.60, 0.70, 0.80</w:t>
            </w:r>
          </w:p>
        </w:tc>
        <w:tc>
          <w:tcPr>
            <w:tcW w:type="dxa" w:w="2400"/>
            <w:tcMar>
              <w:top w:type="dxa" w:w="60"/>
              <w:left w:type="dxa" w:w="100"/>
              <w:bottom w:type="dxa" w:w="60"/>
              <w:right w:type="dxa" w:w="100"/>
            </w:tcMar>
          </w:tcPr>
          <w:p>
            <w:pPr>
              <w:spacing w:after="0"/>
            </w:pPr>
            <w:r>
              <w:rPr>
                <w:b w:val="false"/>
                <w:bCs w:val="false"/>
                <w:sz w:val="19"/>
                <w:szCs w:val="19"/>
              </w:rPr>
              <w:t xml:space="preserve">3.61</w:t>
            </w:r>
          </w:p>
        </w:tc>
      </w:tr>
      <w:tr>
        <w:tc>
          <w:tcPr>
            <w:tcW w:type="dxa" w:w="1400"/>
            <w:tcMar>
              <w:top w:type="dxa" w:w="60"/>
              <w:left w:type="dxa" w:w="100"/>
              <w:bottom w:type="dxa" w:w="60"/>
              <w:right w:type="dxa" w:w="100"/>
            </w:tcMar>
          </w:tcPr>
          <w:p>
            <w:pPr>
              <w:spacing w:after="0"/>
            </w:pPr>
            <w:r>
              <w:rPr>
                <w:b w:val="false"/>
                <w:bCs w:val="false"/>
                <w:sz w:val="19"/>
                <w:szCs w:val="19"/>
              </w:rPr>
              <w:t xml:space="preserve">250</w:t>
            </w:r>
          </w:p>
        </w:tc>
        <w:tc>
          <w:tcPr>
            <w:tcW w:type="dxa" w:w="1600"/>
            <w:tcMar>
              <w:top w:type="dxa" w:w="60"/>
              <w:left w:type="dxa" w:w="100"/>
              <w:bottom w:type="dxa" w:w="60"/>
              <w:right w:type="dxa" w:w="100"/>
            </w:tcMar>
          </w:tcPr>
          <w:p>
            <w:pPr>
              <w:spacing w:after="0"/>
            </w:pPr>
            <w:r>
              <w:rPr>
                <w:b w:val="false"/>
                <w:bCs w:val="false"/>
                <w:sz w:val="19"/>
                <w:szCs w:val="19"/>
              </w:rPr>
              <w:t xml:space="preserve">120</w:t>
            </w:r>
          </w:p>
        </w:tc>
        <w:tc>
          <w:tcPr>
            <w:tcW w:type="dxa" w:w="1500"/>
            <w:tcMar>
              <w:top w:type="dxa" w:w="60"/>
              <w:left w:type="dxa" w:w="100"/>
              <w:bottom w:type="dxa" w:w="60"/>
              <w:right w:type="dxa" w:w="100"/>
            </w:tcMar>
          </w:tcPr>
          <w:p>
            <w:pPr>
              <w:spacing w:after="0"/>
            </w:pPr>
            <w:r>
              <w:rPr>
                <w:b w:val="false"/>
                <w:bCs w:val="false"/>
                <w:sz w:val="19"/>
                <w:szCs w:val="19"/>
              </w:rPr>
              <w:t xml:space="preserve">20</w:t>
            </w:r>
          </w:p>
        </w:tc>
        <w:tc>
          <w:tcPr>
            <w:tcW w:type="dxa" w:w="2900"/>
            <w:tcMar>
              <w:top w:type="dxa" w:w="60"/>
              <w:left w:type="dxa" w:w="100"/>
              <w:bottom w:type="dxa" w:w="60"/>
              <w:right w:type="dxa" w:w="100"/>
            </w:tcMar>
          </w:tcPr>
          <w:p>
            <w:pPr>
              <w:spacing w:after="0"/>
            </w:pPr>
            <w:r>
              <w:rPr>
                <w:b w:val="false"/>
                <w:bCs w:val="false"/>
                <w:sz w:val="19"/>
                <w:szCs w:val="19"/>
              </w:rPr>
              <w:t xml:space="preserve">0.40, 0.50, 0.60, 0.70</w:t>
            </w:r>
          </w:p>
        </w:tc>
        <w:tc>
          <w:tcPr>
            <w:tcW w:type="dxa" w:w="2400"/>
            <w:tcMar>
              <w:top w:type="dxa" w:w="60"/>
              <w:left w:type="dxa" w:w="100"/>
              <w:bottom w:type="dxa" w:w="60"/>
              <w:right w:type="dxa" w:w="100"/>
            </w:tcMar>
          </w:tcPr>
          <w:p>
            <w:pPr>
              <w:spacing w:after="0"/>
            </w:pPr>
            <w:r>
              <w:rPr>
                <w:b w:val="false"/>
                <w:bCs w:val="false"/>
                <w:sz w:val="19"/>
                <w:szCs w:val="19"/>
              </w:rPr>
              <w:t xml:space="preserve">3.61</w:t>
            </w:r>
          </w:p>
        </w:tc>
      </w:tr>
      <w:tr>
        <w:tc>
          <w:tcPr>
            <w:tcW w:type="dxa" w:w="1400"/>
            <w:tcMar>
              <w:top w:type="dxa" w:w="60"/>
              <w:left w:type="dxa" w:w="100"/>
              <w:bottom w:type="dxa" w:w="60"/>
              <w:right w:type="dxa" w:w="100"/>
            </w:tcMar>
          </w:tcPr>
          <w:p>
            <w:pPr>
              <w:spacing w:after="0"/>
            </w:pPr>
            <w:r>
              <w:rPr>
                <w:b w:val="false"/>
                <w:bCs w:val="false"/>
                <w:sz w:val="19"/>
                <w:szCs w:val="19"/>
              </w:rPr>
              <w:t xml:space="preserve">500</w:t>
            </w:r>
          </w:p>
        </w:tc>
        <w:tc>
          <w:tcPr>
            <w:tcW w:type="dxa" w:w="1600"/>
            <w:tcMar>
              <w:top w:type="dxa" w:w="60"/>
              <w:left w:type="dxa" w:w="100"/>
              <w:bottom w:type="dxa" w:w="60"/>
              <w:right w:type="dxa" w:w="100"/>
            </w:tcMar>
          </w:tcPr>
          <w:p>
            <w:pPr>
              <w:spacing w:after="0"/>
            </w:pPr>
            <w:r>
              <w:rPr>
                <w:b w:val="false"/>
                <w:bCs w:val="false"/>
                <w:sz w:val="19"/>
                <w:szCs w:val="19"/>
              </w:rPr>
              <w:t xml:space="preserve">120</w:t>
            </w:r>
          </w:p>
        </w:tc>
        <w:tc>
          <w:tcPr>
            <w:tcW w:type="dxa" w:w="1500"/>
            <w:tcMar>
              <w:top w:type="dxa" w:w="60"/>
              <w:left w:type="dxa" w:w="100"/>
              <w:bottom w:type="dxa" w:w="60"/>
              <w:right w:type="dxa" w:w="100"/>
            </w:tcMar>
          </w:tcPr>
          <w:p>
            <w:pPr>
              <w:spacing w:after="0"/>
            </w:pPr>
            <w:r>
              <w:rPr>
                <w:b w:val="false"/>
                <w:bCs w:val="false"/>
                <w:sz w:val="19"/>
                <w:szCs w:val="19"/>
              </w:rPr>
              <w:t xml:space="preserve">20</w:t>
            </w:r>
          </w:p>
        </w:tc>
        <w:tc>
          <w:tcPr>
            <w:tcW w:type="dxa" w:w="2900"/>
            <w:tcMar>
              <w:top w:type="dxa" w:w="60"/>
              <w:left w:type="dxa" w:w="100"/>
              <w:bottom w:type="dxa" w:w="60"/>
              <w:right w:type="dxa" w:w="100"/>
            </w:tcMar>
          </w:tcPr>
          <w:p>
            <w:pPr>
              <w:spacing w:after="0"/>
            </w:pPr>
            <w:r>
              <w:rPr>
                <w:b w:val="false"/>
                <w:bCs w:val="false"/>
                <w:sz w:val="19"/>
                <w:szCs w:val="19"/>
              </w:rPr>
              <w:t xml:space="preserve">0.50, 0.60, 0.70, 0.80</w:t>
            </w:r>
          </w:p>
        </w:tc>
        <w:tc>
          <w:tcPr>
            <w:tcW w:type="dxa" w:w="2400"/>
            <w:tcMar>
              <w:top w:type="dxa" w:w="60"/>
              <w:left w:type="dxa" w:w="100"/>
              <w:bottom w:type="dxa" w:w="60"/>
              <w:right w:type="dxa" w:w="100"/>
            </w:tcMar>
          </w:tcPr>
          <w:p>
            <w:pPr>
              <w:spacing w:after="0"/>
            </w:pPr>
            <w:r>
              <w:rPr>
                <w:b w:val="false"/>
                <w:bCs w:val="false"/>
                <w:sz w:val="19"/>
                <w:szCs w:val="19"/>
              </w:rPr>
              <w:t xml:space="preserve">3.96</w:t>
            </w:r>
          </w:p>
        </w:tc>
      </w:tr>
      <w:tr>
        <w:tc>
          <w:tcPr>
            <w:tcW w:type="dxa" w:w="1400"/>
            <w:tcMar>
              <w:top w:type="dxa" w:w="60"/>
              <w:left w:type="dxa" w:w="100"/>
              <w:bottom w:type="dxa" w:w="60"/>
              <w:right w:type="dxa" w:w="100"/>
            </w:tcMar>
          </w:tcPr>
          <w:p>
            <w:pPr>
              <w:spacing w:after="0"/>
            </w:pPr>
            <w:r>
              <w:rPr>
                <w:b w:val="false"/>
                <w:bCs w:val="false"/>
                <w:sz w:val="19"/>
                <w:szCs w:val="19"/>
              </w:rPr>
              <w:t xml:space="preserve">1000</w:t>
            </w:r>
          </w:p>
        </w:tc>
        <w:tc>
          <w:tcPr>
            <w:tcW w:type="dxa" w:w="1600"/>
            <w:tcMar>
              <w:top w:type="dxa" w:w="60"/>
              <w:left w:type="dxa" w:w="100"/>
              <w:bottom w:type="dxa" w:w="60"/>
              <w:right w:type="dxa" w:w="100"/>
            </w:tcMar>
          </w:tcPr>
          <w:p>
            <w:pPr>
              <w:spacing w:after="0"/>
            </w:pPr>
            <w:r>
              <w:rPr>
                <w:b w:val="false"/>
                <w:bCs w:val="false"/>
                <w:sz w:val="19"/>
                <w:szCs w:val="19"/>
              </w:rPr>
              <w:t xml:space="preserve">200</w:t>
            </w:r>
          </w:p>
        </w:tc>
        <w:tc>
          <w:tcPr>
            <w:tcW w:type="dxa" w:w="1500"/>
            <w:tcMar>
              <w:top w:type="dxa" w:w="60"/>
              <w:left w:type="dxa" w:w="100"/>
              <w:bottom w:type="dxa" w:w="60"/>
              <w:right w:type="dxa" w:w="100"/>
            </w:tcMar>
          </w:tcPr>
          <w:p>
            <w:pPr>
              <w:spacing w:after="0"/>
            </w:pPr>
            <w:r>
              <w:rPr>
                <w:b w:val="false"/>
                <w:bCs w:val="false"/>
                <w:sz w:val="19"/>
                <w:szCs w:val="19"/>
              </w:rPr>
              <w:t xml:space="preserve">20</w:t>
            </w:r>
          </w:p>
        </w:tc>
        <w:tc>
          <w:tcPr>
            <w:tcW w:type="dxa" w:w="2900"/>
            <w:tcMar>
              <w:top w:type="dxa" w:w="60"/>
              <w:left w:type="dxa" w:w="100"/>
              <w:bottom w:type="dxa" w:w="60"/>
              <w:right w:type="dxa" w:w="100"/>
            </w:tcMar>
          </w:tcPr>
          <w:p>
            <w:pPr>
              <w:spacing w:after="0"/>
            </w:pPr>
            <w:r>
              <w:rPr>
                <w:b w:val="false"/>
                <w:bCs w:val="false"/>
                <w:sz w:val="19"/>
                <w:szCs w:val="19"/>
              </w:rPr>
              <w:t xml:space="preserve">0.50, 0.60, 0.70</w:t>
            </w:r>
          </w:p>
        </w:tc>
        <w:tc>
          <w:tcPr>
            <w:tcW w:type="dxa" w:w="2400"/>
            <w:tcMar>
              <w:top w:type="dxa" w:w="60"/>
              <w:left w:type="dxa" w:w="100"/>
              <w:bottom w:type="dxa" w:w="60"/>
              <w:right w:type="dxa" w:w="100"/>
            </w:tcMar>
          </w:tcPr>
          <w:p>
            <w:pPr>
              <w:spacing w:after="0"/>
            </w:pPr>
            <w:r>
              <w:rPr>
                <w:b w:val="false"/>
                <w:bCs w:val="false"/>
                <w:sz w:val="19"/>
                <w:szCs w:val="19"/>
              </w:rPr>
              <w:t xml:space="preserve">4.29</w:t>
            </w:r>
          </w:p>
        </w:tc>
      </w:tr>
    </w:tbl>
    <w:p>
      <w:pPr>
        <w:spacing w:after="120" w:before="160"/>
      </w:pPr>
      <w:r>
        <w:rPr>
          <w:b/>
          <w:bCs/>
          <w:sz w:val="22"/>
          <w:szCs w:val="22"/>
        </w:rPr>
        <w:t xml:space="preserve">Marginal families: </w:t>
      </w:r>
      <w:r>
        <w:rPr>
          <w:sz w:val="22"/>
          <w:szCs w:val="22"/>
        </w:rPr>
        <w:t xml:space="preserve">Gaussian; the three Cai–Liu constructions (non-elliptical t₆, non-elliptical exponential, and the normal mixture); and the elliptical t and copula-based Laplace and exponential retained as a designed contrast. Running both families gives a two-by-two structure — elliptical or not, κ = 1 or not — which attributes any FDR failure to a specific assumption violation rather than to non-Gaussianity in general.</w:t>
      </w:r>
    </w:p>
    <w:p>
      <w:pPr>
        <w:spacing w:after="120" w:before="0"/>
      </w:pPr>
      <w:r>
        <w:rPr>
          <w:b/>
          <w:bCs/>
          <w:sz w:val="22"/>
          <w:szCs w:val="22"/>
        </w:rPr>
        <w:t xml:space="preserve">Replication counts: </w:t>
      </w:r>
      <w:r>
        <w:rPr>
          <w:sz w:val="22"/>
          <w:szCs w:val="22"/>
        </w:rPr>
        <w:t xml:space="preserve">the smoke-test grids used twenty to thirty replicates, which gives a Monte Carlo standard error near 0.04 on an FDR estimate — too coarse to distinguish 0.03 from 0.10. Paper-scale runs will use three to five hundred replicates at p ∈ {250, 500}, reducing that to roughly 0.01, with a single p = 1000 configuration at fifty replicates included as an explicitly-labelled scalability demonstration.</w:t>
      </w:r>
    </w:p>
    <w:p>
      <w:pPr>
        <w:spacing w:after="140" w:before="280"/>
      </w:pPr>
      <w:r>
        <w:rPr>
          <w:b/>
          <w:bCs/>
          <w:sz w:val="26"/>
          <w:szCs w:val="26"/>
        </w:rPr>
        <w:t xml:space="preserve">10.7 Status of Results</w:t>
      </w:r>
    </w:p>
    <w:p>
      <w:pPr>
        <w:pStyle w:val="ListParagraph"/>
        <w:numPr>
          <w:ilvl w:val="0"/>
          <w:numId w:val="1"/>
        </w:numPr>
        <w:spacing w:after="60"/>
      </w:pPr>
      <w:r>
        <w:rPr>
          <w:b/>
          <w:bCs/>
          <w:sz w:val="22"/>
          <w:szCs w:val="22"/>
        </w:rPr>
        <w:t xml:space="preserve">Null calibration: </w:t>
      </w:r>
      <w:r>
        <w:rPr>
          <w:sz w:val="22"/>
          <w:szCs w:val="22"/>
        </w:rPr>
        <w:t xml:space="preserve">LCT-B controls FDR at or below the nominal level across all marginal families tested, at both α = 0.05 and α = 0.10. Estimates are currently at the resolution floor of the replicate count and will be re-run at paper scale.</w:t>
      </w:r>
    </w:p>
    <w:p>
      <w:pPr>
        <w:pStyle w:val="ListParagraph"/>
        <w:numPr>
          <w:ilvl w:val="0"/>
          <w:numId w:val="1"/>
        </w:numPr>
        <w:spacing w:after="60"/>
      </w:pPr>
      <w:r>
        <w:rPr>
          <w:b/>
          <w:bCs/>
          <w:sz w:val="22"/>
          <w:szCs w:val="22"/>
        </w:rPr>
        <w:t xml:space="preserve">Power: </w:t>
      </w:r>
      <w:r>
        <w:rPr>
          <w:sz w:val="22"/>
          <w:szCs w:val="22"/>
        </w:rPr>
        <w:t xml:space="preserve">with the corrected variance estimator, LCT exceeds Fisher-z + BH at matched FDR in the Gaussian setting, consistent with [P1]. The non-Gaussian comparison awaits re-running with the Sec. 5.1 generators.</w:t>
      </w:r>
    </w:p>
    <w:p>
      <w:pPr>
        <w:pStyle w:val="ListParagraph"/>
        <w:numPr>
          <w:ilvl w:val="0"/>
          <w:numId w:val="1"/>
        </w:numPr>
        <w:spacing w:after="60"/>
      </w:pPr>
      <w:r>
        <w:rPr>
          <w:b/>
          <w:bCs/>
          <w:sz w:val="22"/>
          <w:szCs w:val="22"/>
        </w:rPr>
        <w:t xml:space="preserve">Runtime: </w:t>
      </w:r>
      <w:r>
        <w:rPr>
          <w:sz w:val="22"/>
          <w:szCs w:val="22"/>
        </w:rPr>
        <w:t xml:space="preserve">a bootstrap call at p = 500 with B = 100 completes in about twelve seconds after the two performance corrections, against several minutes before. The p = 500 and p = 1000 grids are now routine rather than prohibitive.</w:t>
      </w:r>
    </w:p>
    <w:p>
      <w:pPr>
        <w:pStyle w:val="ListParagraph"/>
        <w:numPr>
          <w:ilvl w:val="0"/>
          <w:numId w:val="1"/>
        </w:numPr>
        <w:spacing w:after="140"/>
      </w:pPr>
      <w:r>
        <w:rPr>
          <w:b/>
          <w:bCs/>
          <w:sz w:val="22"/>
          <w:szCs w:val="22"/>
        </w:rPr>
        <w:t xml:space="preserve">Invalidated: </w:t>
      </w:r>
      <w:r>
        <w:rPr>
          <w:sz w:val="22"/>
          <w:szCs w:val="22"/>
        </w:rPr>
        <w:t xml:space="preserve">all power and FDR results generated before the audit. Regeneration is the immediate next task and requires no new code.</w:t>
      </w:r>
    </w:p>
    <w:p>
      <w:pPr>
        <w:spacing w:after="140" w:before="280"/>
      </w:pPr>
      <w:r>
        <w:rPr>
          <w:b/>
          <w:bCs/>
          <w:sz w:val="26"/>
          <w:szCs w:val="26"/>
        </w:rPr>
        <w:t xml:space="preserve">10.8 Revised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800"/>
        <w:gridCol w:w="2700"/>
      </w:tblGrid>
      <w:tr>
        <w:tc>
          <w:tcPr>
            <w:tcW w:type="dxa" w:w="2000"/>
            <w:shd w:fill="E7E6E6" w:val="clear"/>
            <w:tcMar>
              <w:top w:type="dxa" w:w="60"/>
              <w:left w:type="dxa" w:w="100"/>
              <w:bottom w:type="dxa" w:w="60"/>
              <w:right w:type="dxa" w:w="100"/>
            </w:tcMar>
          </w:tcPr>
          <w:p>
            <w:pPr>
              <w:spacing w:after="0"/>
            </w:pPr>
            <w:r>
              <w:rPr>
                <w:b/>
                <w:bCs/>
                <w:sz w:val="19"/>
                <w:szCs w:val="19"/>
              </w:rPr>
              <w:t xml:space="preserve">Stage</w:t>
            </w:r>
          </w:p>
        </w:tc>
        <w:tc>
          <w:tcPr>
            <w:tcW w:type="dxa" w:w="1300"/>
            <w:shd w:fill="E7E6E6" w:val="clear"/>
            <w:tcMar>
              <w:top w:type="dxa" w:w="60"/>
              <w:left w:type="dxa" w:w="100"/>
              <w:bottom w:type="dxa" w:w="60"/>
              <w:right w:type="dxa" w:w="100"/>
            </w:tcMar>
          </w:tcPr>
          <w:p>
            <w:pPr>
              <w:spacing w:after="0"/>
            </w:pPr>
            <w:r>
              <w:rPr>
                <w:b/>
                <w:bCs/>
                <w:sz w:val="19"/>
                <w:szCs w:val="19"/>
              </w:rPr>
              <w:t xml:space="preserve">Paper</w:t>
            </w:r>
          </w:p>
        </w:tc>
        <w:tc>
          <w:tcPr>
            <w:tcW w:type="dxa" w:w="3800"/>
            <w:shd w:fill="E7E6E6" w:val="clear"/>
            <w:tcMar>
              <w:top w:type="dxa" w:w="60"/>
              <w:left w:type="dxa" w:w="100"/>
              <w:bottom w:type="dxa" w:w="60"/>
              <w:right w:type="dxa" w:w="100"/>
            </w:tcMar>
          </w:tcPr>
          <w:p>
            <w:pPr>
              <w:spacing w:after="0"/>
            </w:pPr>
            <w:r>
              <w:rPr>
                <w:b/>
                <w:bCs/>
                <w:sz w:val="19"/>
                <w:szCs w:val="19"/>
              </w:rPr>
              <w:t xml:space="preserve">Task</w:t>
            </w:r>
          </w:p>
        </w:tc>
        <w:tc>
          <w:tcPr>
            <w:tcW w:type="dxa" w:w="2700"/>
            <w:shd w:fill="E7E6E6" w:val="clear"/>
            <w:tcMar>
              <w:top w:type="dxa" w:w="60"/>
              <w:left w:type="dxa" w:w="100"/>
              <w:bottom w:type="dxa" w:w="60"/>
              <w:right w:type="dxa" w:w="100"/>
            </w:tcMar>
          </w:tcPr>
          <w:p>
            <w:pPr>
              <w:spacing w:after="0"/>
            </w:pPr>
            <w:r>
              <w:rPr>
                <w:b/>
                <w:bCs/>
                <w:sz w:val="19"/>
                <w:szCs w:val="19"/>
              </w:rPr>
              <w:t xml:space="preserve">Status</w:t>
            </w:r>
          </w:p>
        </w:tc>
      </w:tr>
      <w:tr>
        <w:tc>
          <w:tcPr>
            <w:tcW w:type="dxa" w:w="2000"/>
            <w:tcMar>
              <w:top w:type="dxa" w:w="60"/>
              <w:left w:type="dxa" w:w="100"/>
              <w:bottom w:type="dxa" w:w="60"/>
              <w:right w:type="dxa" w:w="100"/>
            </w:tcMar>
          </w:tcPr>
          <w:p>
            <w:pPr>
              <w:spacing w:after="0"/>
            </w:pPr>
            <w:r>
              <w:rPr>
                <w:b w:val="false"/>
                <w:bCs w:val="false"/>
                <w:sz w:val="19"/>
                <w:szCs w:val="19"/>
              </w:rPr>
              <w:t xml:space="preserve">Edge-level engine</w:t>
            </w:r>
          </w:p>
        </w:tc>
        <w:tc>
          <w:tcPr>
            <w:tcW w:type="dxa" w:w="1300"/>
            <w:tcMar>
              <w:top w:type="dxa" w:w="60"/>
              <w:left w:type="dxa" w:w="100"/>
              <w:bottom w:type="dxa" w:w="60"/>
              <w:right w:type="dxa" w:w="100"/>
            </w:tcMar>
          </w:tcPr>
          <w:p>
            <w:pPr>
              <w:spacing w:after="0"/>
            </w:pPr>
            <w:r>
              <w:rPr>
                <w:b/>
                <w:bCs/>
                <w:sz w:val="19"/>
                <w:szCs w:val="19"/>
              </w:rPr>
              <w:t xml:space="preserve">[P1]</w:t>
            </w:r>
          </w:p>
        </w:tc>
        <w:tc>
          <w:tcPr>
            <w:tcW w:type="dxa" w:w="3800"/>
            <w:tcMar>
              <w:top w:type="dxa" w:w="60"/>
              <w:left w:type="dxa" w:w="100"/>
              <w:bottom w:type="dxa" w:w="60"/>
              <w:right w:type="dxa" w:w="100"/>
            </w:tcMar>
          </w:tcPr>
          <w:p>
            <w:pPr>
              <w:spacing w:after="0"/>
            </w:pPr>
            <w:r>
              <w:rPr>
                <w:b w:val="false"/>
                <w:bCs w:val="false"/>
                <w:sz w:val="19"/>
                <w:szCs w:val="19"/>
              </w:rPr>
              <w:t xml:space="preserve">Implement, audit, and correct LCT-N / LCT-B and the Fisher-z baselines</w:t>
            </w:r>
          </w:p>
        </w:tc>
        <w:tc>
          <w:tcPr>
            <w:tcW w:type="dxa" w:w="2700"/>
            <w:tcMar>
              <w:top w:type="dxa" w:w="60"/>
              <w:left w:type="dxa" w:w="100"/>
              <w:bottom w:type="dxa" w:w="60"/>
              <w:right w:type="dxa" w:w="100"/>
            </w:tcMar>
          </w:tcPr>
          <w:p>
            <w:pPr>
              <w:spacing w:after="0"/>
            </w:pPr>
            <w:r>
              <w:rPr>
                <w:b w:val="false"/>
                <w:bCs w:val="false"/>
                <w:sz w:val="19"/>
                <w:szCs w:val="19"/>
              </w:rPr>
              <w:t xml:space="preserve">Complete</w:t>
            </w:r>
          </w:p>
        </w:tc>
      </w:tr>
      <w:tr>
        <w:tc>
          <w:tcPr>
            <w:tcW w:type="dxa" w:w="2000"/>
            <w:tcMar>
              <w:top w:type="dxa" w:w="60"/>
              <w:left w:type="dxa" w:w="100"/>
              <w:bottom w:type="dxa" w:w="60"/>
              <w:right w:type="dxa" w:w="100"/>
            </w:tcMar>
          </w:tcPr>
          <w:p>
            <w:pPr>
              <w:spacing w:after="0"/>
            </w:pPr>
            <w:r>
              <w:rPr>
                <w:b w:val="false"/>
                <w:bCs w:val="false"/>
                <w:sz w:val="19"/>
                <w:szCs w:val="19"/>
              </w:rPr>
              <w:t xml:space="preserve">Simulation study</w:t>
            </w:r>
          </w:p>
        </w:tc>
        <w:tc>
          <w:tcPr>
            <w:tcW w:type="dxa" w:w="1300"/>
            <w:tcMar>
              <w:top w:type="dxa" w:w="60"/>
              <w:left w:type="dxa" w:w="100"/>
              <w:bottom w:type="dxa" w:w="60"/>
              <w:right w:type="dxa" w:w="100"/>
            </w:tcMar>
          </w:tcPr>
          <w:p>
            <w:pPr>
              <w:spacing w:after="0"/>
            </w:pPr>
            <w:r>
              <w:rPr>
                <w:b/>
                <w:bCs/>
                <w:sz w:val="19"/>
                <w:szCs w:val="19"/>
              </w:rPr>
              <w:t xml:space="preserve">[P1]</w:t>
            </w:r>
          </w:p>
        </w:tc>
        <w:tc>
          <w:tcPr>
            <w:tcW w:type="dxa" w:w="3800"/>
            <w:tcMar>
              <w:top w:type="dxa" w:w="60"/>
              <w:left w:type="dxa" w:w="100"/>
              <w:bottom w:type="dxa" w:w="60"/>
              <w:right w:type="dxa" w:w="100"/>
            </w:tcMar>
          </w:tcPr>
          <w:p>
            <w:pPr>
              <w:spacing w:after="0"/>
            </w:pPr>
            <w:r>
              <w:rPr>
                <w:b w:val="false"/>
                <w:bCs w:val="false"/>
                <w:sz w:val="19"/>
                <w:szCs w:val="19"/>
              </w:rPr>
              <w:t xml:space="preserve">Regenerate the full grid at paper-scale replication across all marginal families</w:t>
            </w:r>
          </w:p>
        </w:tc>
        <w:tc>
          <w:tcPr>
            <w:tcW w:type="dxa" w:w="2700"/>
            <w:tcMar>
              <w:top w:type="dxa" w:w="60"/>
              <w:left w:type="dxa" w:w="100"/>
              <w:bottom w:type="dxa" w:w="60"/>
              <w:right w:type="dxa" w:w="100"/>
            </w:tcMar>
          </w:tcPr>
          <w:p>
            <w:pPr>
              <w:spacing w:after="0"/>
            </w:pPr>
            <w:r>
              <w:rPr>
                <w:b w:val="false"/>
                <w:bCs w:val="false"/>
                <w:sz w:val="19"/>
                <w:szCs w:val="19"/>
              </w:rPr>
              <w:t xml:space="preserve">Next</w:t>
            </w:r>
          </w:p>
        </w:tc>
      </w:tr>
      <w:tr>
        <w:tc>
          <w:tcPr>
            <w:tcW w:type="dxa" w:w="2000"/>
            <w:tcMar>
              <w:top w:type="dxa" w:w="60"/>
              <w:left w:type="dxa" w:w="100"/>
              <w:bottom w:type="dxa" w:w="60"/>
              <w:right w:type="dxa" w:w="100"/>
            </w:tcMar>
          </w:tcPr>
          <w:p>
            <w:pPr>
              <w:spacing w:after="0"/>
            </w:pPr>
            <w:r>
              <w:rPr>
                <w:b w:val="false"/>
                <w:bCs w:val="false"/>
                <w:sz w:val="19"/>
                <w:szCs w:val="19"/>
              </w:rPr>
              <w:t xml:space="preserve">Real data</w:t>
            </w:r>
          </w:p>
        </w:tc>
        <w:tc>
          <w:tcPr>
            <w:tcW w:type="dxa" w:w="1300"/>
            <w:tcMar>
              <w:top w:type="dxa" w:w="60"/>
              <w:left w:type="dxa" w:w="100"/>
              <w:bottom w:type="dxa" w:w="60"/>
              <w:right w:type="dxa" w:w="100"/>
            </w:tcMar>
          </w:tcPr>
          <w:p>
            <w:pPr>
              <w:spacing w:after="0"/>
            </w:pPr>
            <w:r>
              <w:rPr>
                <w:b/>
                <w:bCs/>
                <w:sz w:val="19"/>
                <w:szCs w:val="19"/>
              </w:rPr>
              <w:t xml:space="preserve">[P1]</w:t>
            </w:r>
          </w:p>
        </w:tc>
        <w:tc>
          <w:tcPr>
            <w:tcW w:type="dxa" w:w="3800"/>
            <w:tcMar>
              <w:top w:type="dxa" w:w="60"/>
              <w:left w:type="dxa" w:w="100"/>
              <w:bottom w:type="dxa" w:w="60"/>
              <w:right w:type="dxa" w:w="100"/>
            </w:tcMar>
          </w:tcPr>
          <w:p>
            <w:pPr>
              <w:spacing w:after="0"/>
            </w:pPr>
            <w:r>
              <w:rPr>
                <w:b w:val="false"/>
                <w:bCs w:val="false"/>
                <w:sz w:val="19"/>
                <w:szCs w:val="19"/>
              </w:rPr>
              <w:t xml:space="preserve">Prostate or breast gene-expression replication; compare edge counts and sparsity against the paper</w:t>
            </w:r>
          </w:p>
        </w:tc>
        <w:tc>
          <w:tcPr>
            <w:tcW w:type="dxa" w:w="2700"/>
            <w:tcMar>
              <w:top w:type="dxa" w:w="60"/>
              <w:left w:type="dxa" w:w="100"/>
              <w:bottom w:type="dxa" w:w="60"/>
              <w:right w:type="dxa" w:w="100"/>
            </w:tcMar>
          </w:tcPr>
          <w:p>
            <w:pPr>
              <w:spacing w:after="0"/>
            </w:pPr>
            <w:r>
              <w:rPr>
                <w:b w:val="false"/>
                <w:bCs w:val="false"/>
                <w:sz w:val="19"/>
                <w:szCs w:val="19"/>
              </w:rPr>
              <w:t xml:space="preserve">Following</w:t>
            </w:r>
          </w:p>
        </w:tc>
      </w:tr>
      <w:tr>
        <w:tc>
          <w:tcPr>
            <w:tcW w:type="dxa" w:w="2000"/>
            <w:tcMar>
              <w:top w:type="dxa" w:w="60"/>
              <w:left w:type="dxa" w:w="100"/>
              <w:bottom w:type="dxa" w:w="60"/>
              <w:right w:type="dxa" w:w="100"/>
            </w:tcMar>
          </w:tcPr>
          <w:p>
            <w:pPr>
              <w:spacing w:after="0"/>
            </w:pPr>
            <w:r>
              <w:rPr>
                <w:b w:val="false"/>
                <w:bCs w:val="false"/>
                <w:sz w:val="19"/>
                <w:szCs w:val="19"/>
              </w:rPr>
              <w:t xml:space="preserve">Replication note</w:t>
            </w:r>
          </w:p>
        </w:tc>
        <w:tc>
          <w:tcPr>
            <w:tcW w:type="dxa" w:w="1300"/>
            <w:tcMar>
              <w:top w:type="dxa" w:w="60"/>
              <w:left w:type="dxa" w:w="100"/>
              <w:bottom w:type="dxa" w:w="60"/>
              <w:right w:type="dxa" w:w="100"/>
            </w:tcMar>
          </w:tcPr>
          <w:p>
            <w:pPr>
              <w:spacing w:after="0"/>
            </w:pPr>
            <w:r>
              <w:rPr>
                <w:b/>
                <w:bCs/>
                <w:sz w:val="19"/>
                <w:szCs w:val="19"/>
              </w:rPr>
              <w:t xml:space="preserve">[P1]</w:t>
            </w:r>
          </w:p>
        </w:tc>
        <w:tc>
          <w:tcPr>
            <w:tcW w:type="dxa" w:w="3800"/>
            <w:tcMar>
              <w:top w:type="dxa" w:w="60"/>
              <w:left w:type="dxa" w:w="100"/>
              <w:bottom w:type="dxa" w:w="60"/>
              <w:right w:type="dxa" w:w="100"/>
            </w:tcMar>
          </w:tcPr>
          <w:p>
            <w:pPr>
              <w:spacing w:after="0"/>
            </w:pPr>
            <w:r>
              <w:rPr>
                <w:b w:val="false"/>
                <w:bCs w:val="false"/>
                <w:sz w:val="19"/>
                <w:szCs w:val="19"/>
              </w:rPr>
              <w:t xml:space="preserve">Methods, FDR and power tables, one real-data figure, calibration guidance</w:t>
            </w:r>
          </w:p>
        </w:tc>
        <w:tc>
          <w:tcPr>
            <w:tcW w:type="dxa" w:w="2700"/>
            <w:tcMar>
              <w:top w:type="dxa" w:w="60"/>
              <w:left w:type="dxa" w:w="100"/>
              <w:bottom w:type="dxa" w:w="60"/>
              <w:right w:type="dxa" w:w="100"/>
            </w:tcMar>
          </w:tcPr>
          <w:p>
            <w:pPr>
              <w:spacing w:after="0"/>
            </w:pPr>
            <w:r>
              <w:rPr>
                <w:b w:val="false"/>
                <w:bCs w:val="false"/>
                <w:sz w:val="19"/>
                <w:szCs w:val="19"/>
              </w:rPr>
              <w:t xml:space="preserve">Following</w:t>
            </w:r>
          </w:p>
        </w:tc>
      </w:tr>
      <w:tr>
        <w:tc>
          <w:tcPr>
            <w:tcW w:type="dxa" w:w="2000"/>
            <w:tcMar>
              <w:top w:type="dxa" w:w="60"/>
              <w:left w:type="dxa" w:w="100"/>
              <w:bottom w:type="dxa" w:w="60"/>
              <w:right w:type="dxa" w:w="100"/>
            </w:tcMar>
          </w:tcPr>
          <w:p>
            <w:pPr>
              <w:spacing w:after="0"/>
            </w:pPr>
            <w:r>
              <w:rPr>
                <w:b w:val="false"/>
                <w:bCs w:val="false"/>
                <w:sz w:val="19"/>
                <w:szCs w:val="19"/>
              </w:rPr>
              <w:t xml:space="preserve">Global detection</w:t>
            </w:r>
          </w:p>
        </w:tc>
        <w:tc>
          <w:tcPr>
            <w:tcW w:type="dxa" w:w="1300"/>
            <w:tcMar>
              <w:top w:type="dxa" w:w="60"/>
              <w:left w:type="dxa" w:w="100"/>
              <w:bottom w:type="dxa" w:w="60"/>
              <w:right w:type="dxa" w:w="100"/>
            </w:tcMar>
          </w:tcPr>
          <w:p>
            <w:pPr>
              <w:spacing w:after="0"/>
            </w:pPr>
            <w:r>
              <w:rPr>
                <w:b/>
                <w:bCs/>
                <w:sz w:val="19"/>
                <w:szCs w:val="19"/>
              </w:rPr>
              <w:t xml:space="preserve">[P3]</w:t>
            </w:r>
          </w:p>
        </w:tc>
        <w:tc>
          <w:tcPr>
            <w:tcW w:type="dxa" w:w="3800"/>
            <w:tcMar>
              <w:top w:type="dxa" w:w="60"/>
              <w:left w:type="dxa" w:w="100"/>
              <w:bottom w:type="dxa" w:w="60"/>
              <w:right w:type="dxa" w:w="100"/>
            </w:tcMar>
          </w:tcPr>
          <w:p>
            <w:pPr>
              <w:spacing w:after="0"/>
            </w:pPr>
            <w:r>
              <w:rPr>
                <w:b w:val="false"/>
                <w:bCs w:val="false"/>
                <w:sz w:val="19"/>
                <w:szCs w:val="19"/>
              </w:rPr>
              <w:t xml:space="preserve">Add the permutation global test as a gatekeeper stage</w:t>
            </w:r>
          </w:p>
        </w:tc>
        <w:tc>
          <w:tcPr>
            <w:tcW w:type="dxa" w:w="2700"/>
            <w:tcMar>
              <w:top w:type="dxa" w:w="60"/>
              <w:left w:type="dxa" w:w="100"/>
              <w:bottom w:type="dxa" w:w="60"/>
              <w:right w:type="dxa" w:w="100"/>
            </w:tcMar>
          </w:tcPr>
          <w:p>
            <w:pPr>
              <w:spacing w:after="0"/>
            </w:pPr>
            <w:r>
              <w:rPr>
                <w:b w:val="false"/>
                <w:bCs w:val="false"/>
                <w:sz w:val="19"/>
                <w:szCs w:val="19"/>
              </w:rPr>
              <w:t xml:space="preserve">Deferred</w:t>
            </w:r>
          </w:p>
        </w:tc>
      </w:tr>
      <w:tr>
        <w:tc>
          <w:tcPr>
            <w:tcW w:type="dxa" w:w="2000"/>
            <w:tcMar>
              <w:top w:type="dxa" w:w="60"/>
              <w:left w:type="dxa" w:w="100"/>
              <w:bottom w:type="dxa" w:w="60"/>
              <w:right w:type="dxa" w:w="100"/>
            </w:tcMar>
          </w:tcPr>
          <w:p>
            <w:pPr>
              <w:spacing w:after="0"/>
            </w:pPr>
            <w:r>
              <w:rPr>
                <w:b w:val="false"/>
                <w:bCs w:val="false"/>
                <w:sz w:val="19"/>
                <w:szCs w:val="19"/>
              </w:rPr>
              <w:t xml:space="preserve">Subset guarantees</w:t>
            </w:r>
          </w:p>
        </w:tc>
        <w:tc>
          <w:tcPr>
            <w:tcW w:type="dxa" w:w="1300"/>
            <w:tcMar>
              <w:top w:type="dxa" w:w="60"/>
              <w:left w:type="dxa" w:w="100"/>
              <w:bottom w:type="dxa" w:w="60"/>
              <w:right w:type="dxa" w:w="100"/>
            </w:tcMar>
          </w:tcPr>
          <w:p>
            <w:pPr>
              <w:spacing w:after="0"/>
            </w:pPr>
            <w:r>
              <w:rPr>
                <w:b/>
                <w:bCs/>
                <w:sz w:val="19"/>
                <w:szCs w:val="19"/>
              </w:rPr>
              <w:t xml:space="preserve">[P2]</w:t>
            </w:r>
          </w:p>
        </w:tc>
        <w:tc>
          <w:tcPr>
            <w:tcW w:type="dxa" w:w="3800"/>
            <w:tcMar>
              <w:top w:type="dxa" w:w="60"/>
              <w:left w:type="dxa" w:w="100"/>
              <w:bottom w:type="dxa" w:w="60"/>
              <w:right w:type="dxa" w:w="100"/>
            </w:tcMar>
          </w:tcPr>
          <w:p>
            <w:pPr>
              <w:spacing w:after="0"/>
            </w:pPr>
            <w:r>
              <w:rPr>
                <w:b w:val="false"/>
                <w:bCs w:val="false"/>
                <w:sz w:val="19"/>
                <w:szCs w:val="19"/>
              </w:rPr>
              <w:t xml:space="preserve">Export per-edge statistics and attach TDP certificates to modules</w:t>
            </w:r>
          </w:p>
        </w:tc>
        <w:tc>
          <w:tcPr>
            <w:tcW w:type="dxa" w:w="2700"/>
            <w:tcMar>
              <w:top w:type="dxa" w:w="60"/>
              <w:left w:type="dxa" w:w="100"/>
              <w:bottom w:type="dxa" w:w="60"/>
              <w:right w:type="dxa" w:w="100"/>
            </w:tcMar>
          </w:tcPr>
          <w:p>
            <w:pPr>
              <w:spacing w:after="0"/>
            </w:pPr>
            <w:r>
              <w:rPr>
                <w:b w:val="false"/>
                <w:bCs w:val="false"/>
                <w:sz w:val="19"/>
                <w:szCs w:val="19"/>
              </w:rPr>
              <w:t xml:space="preserve">Deferred; exporter drafted</w:t>
            </w:r>
          </w:p>
        </w:tc>
      </w:tr>
    </w:tbl>
    <w:p>
      <w:pPr>
        <w:spacing w:after="120" w:before="160"/>
      </w:pPr>
      <w:r>
        <w:rPr>
          <w:b/>
          <w:bCs/>
          <w:sz w:val="22"/>
          <w:szCs w:val="22"/>
        </w:rPr>
        <w:t xml:space="preserve">Takeaway: </w:t>
      </w:r>
      <w:r>
        <w:rPr>
          <w:sz w:val="22"/>
          <w:szCs w:val="22"/>
        </w:rPr>
        <w:t xml:space="preserve">The audit cost roughly a week and invalidated several months of results, but it caught two defects that would each have produced a publishable-looking figure carrying the opposite of the correct conclusion. The engine is now trustworthy; what remains is compute, the real-data example, and writing.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2026-07-24T02:58:12.969Z</dcterms:created>
  <dcterms:modified xsi:type="dcterms:W3CDTF">2026-07-24T02:58:12.987Z</dcterms:modified>
</cp:coreProperties>
</file>

<file path=docProps/custom.xml><?xml version="1.0" encoding="utf-8"?>
<Properties xmlns="http://schemas.openxmlformats.org/officeDocument/2006/custom-properties" xmlns:vt="http://schemas.openxmlformats.org/officeDocument/2006/docPropsVTypes"/>
</file>