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2BBC" w14:textId="77777777" w:rsidR="0007474D" w:rsidRPr="0007474D" w:rsidRDefault="0007474D" w:rsidP="0007474D">
      <w:pPr>
        <w:pStyle w:val="Heading2"/>
      </w:pPr>
      <w:r w:rsidRPr="0007474D">
        <w:t>Recommendation 1 -- Implement Regular Customer Engagement Touchpoints</w:t>
      </w:r>
    </w:p>
    <w:p w14:paraId="22DBBE3D" w14:textId="77777777" w:rsidR="0007474D" w:rsidRPr="0007474D" w:rsidRDefault="0007474D" w:rsidP="0007474D">
      <w:r w:rsidRPr="0007474D">
        <w:rPr>
          <w:b/>
          <w:bCs/>
        </w:rPr>
        <w:t>What the data shows:</w:t>
      </w:r>
      <w:r w:rsidRPr="0007474D">
        <w:t xml:space="preserve"> Customers who have had no interaction with the insurer for 12 or more months lapse at over 40%, nearly double the rate of customers contacted within the last 5 months (24-26%). The </w:t>
      </w:r>
      <w:proofErr w:type="gramStart"/>
      <w:r w:rsidRPr="0007474D">
        <w:t>6 month</w:t>
      </w:r>
      <w:proofErr w:type="gramEnd"/>
      <w:r w:rsidRPr="0007474D">
        <w:t xml:space="preserve"> mark is where lapse risk begins to rise sharply.</w:t>
      </w:r>
    </w:p>
    <w:p w14:paraId="631DF610" w14:textId="7FB5AC95" w:rsidR="0007474D" w:rsidRPr="0007474D" w:rsidRDefault="0007474D" w:rsidP="0007474D">
      <w:r w:rsidRPr="0007474D">
        <w:rPr>
          <w:b/>
          <w:bCs/>
        </w:rPr>
        <w:t>What the business should do:</w:t>
      </w:r>
      <w:r w:rsidRPr="0007474D">
        <w:t xml:space="preserve"> Implement an automated engagement trigger at the </w:t>
      </w:r>
      <w:proofErr w:type="gramStart"/>
      <w:r w:rsidRPr="0007474D">
        <w:t>6 month</w:t>
      </w:r>
      <w:proofErr w:type="gramEnd"/>
      <w:r w:rsidRPr="0007474D">
        <w:t xml:space="preserve"> mark for any customer with no recent interaction. This could be a health policy review call, a </w:t>
      </w:r>
      <w:r w:rsidR="00063754" w:rsidRPr="0007474D">
        <w:t>personalized</w:t>
      </w:r>
      <w:r w:rsidRPr="0007474D">
        <w:t xml:space="preserve"> email </w:t>
      </w:r>
      <w:r w:rsidR="00063754" w:rsidRPr="0007474D">
        <w:t>summarizing</w:t>
      </w:r>
      <w:r w:rsidRPr="0007474D">
        <w:t xml:space="preserve"> their coverage, or a proactive check-in from an agent. The goal is to keep the insurer top of mind before the customer enters the high-risk disengagement zone.</w:t>
      </w:r>
    </w:p>
    <w:p w14:paraId="0F759DBB" w14:textId="77777777" w:rsidR="0007474D" w:rsidRPr="0007474D" w:rsidRDefault="0007474D" w:rsidP="0007474D">
      <w:r w:rsidRPr="0007474D">
        <w:rPr>
          <w:b/>
          <w:bCs/>
        </w:rPr>
        <w:t>Expected impact:</w:t>
      </w:r>
      <w:r w:rsidRPr="0007474D">
        <w:t xml:space="preserve"> Bringing lapse rate for disengaged customers from 40% down toward the 25% range of recently engaged customers would protect significant premium revenue. Applied across the Medium risk segment of 235,533 customers, even a </w:t>
      </w:r>
      <w:proofErr w:type="gramStart"/>
      <w:r w:rsidRPr="0007474D">
        <w:t>5 percentage</w:t>
      </w:r>
      <w:proofErr w:type="gramEnd"/>
      <w:r w:rsidRPr="0007474D">
        <w:t xml:space="preserve"> point improvement in renewal rate would recover hundreds of millions in annual premiums.</w:t>
      </w:r>
    </w:p>
    <w:p w14:paraId="2E30C136" w14:textId="77777777" w:rsidR="0007474D" w:rsidRPr="0007474D" w:rsidRDefault="0007474D" w:rsidP="0007474D">
      <w:r w:rsidRPr="0007474D">
        <w:pict w14:anchorId="3118C62A">
          <v:rect id="_x0000_i1061" style="width:0;height:1.5pt" o:hralign="center" o:hrstd="t" o:hr="t" fillcolor="#a0a0a0" stroked="f"/>
        </w:pict>
      </w:r>
    </w:p>
    <w:p w14:paraId="1F7109E3" w14:textId="233E0EE0" w:rsidR="0007474D" w:rsidRPr="0007474D" w:rsidRDefault="0007474D" w:rsidP="0007474D">
      <w:pPr>
        <w:pStyle w:val="Heading2"/>
      </w:pPr>
      <w:r w:rsidRPr="0007474D">
        <w:t xml:space="preserve">Recommendation 2 -- </w:t>
      </w:r>
      <w:r w:rsidR="00063754" w:rsidRPr="0007474D">
        <w:t>Prioritizes</w:t>
      </w:r>
      <w:r w:rsidRPr="0007474D">
        <w:t xml:space="preserve"> Agent Calls for Medium and </w:t>
      </w:r>
      <w:r w:rsidR="00063754" w:rsidRPr="0007474D">
        <w:t>High-Risk</w:t>
      </w:r>
      <w:r w:rsidRPr="0007474D">
        <w:t xml:space="preserve"> Customers</w:t>
      </w:r>
    </w:p>
    <w:p w14:paraId="4E951810" w14:textId="3D22B340" w:rsidR="0007474D" w:rsidRPr="0007474D" w:rsidRDefault="0007474D" w:rsidP="0007474D">
      <w:r w:rsidRPr="0007474D">
        <w:rPr>
          <w:b/>
          <w:bCs/>
        </w:rPr>
        <w:t>What the data shows:</w:t>
      </w:r>
      <w:r w:rsidRPr="0007474D">
        <w:t xml:space="preserve"> Agent calls achieve the lowest lapse rate of 34.5% among contacted customers compared to 43.9% for email. They also achieve the highest response rate at 49.3%, more than double email's 19.2%. Medium risk customers represent 2.54 billion in revenue at risk, nearly 3x the </w:t>
      </w:r>
      <w:r w:rsidR="00063754" w:rsidRPr="0007474D">
        <w:t>High-risk</w:t>
      </w:r>
      <w:r w:rsidRPr="0007474D">
        <w:t xml:space="preserve"> tier.</w:t>
      </w:r>
    </w:p>
    <w:p w14:paraId="48C90C68" w14:textId="35F6A8BC" w:rsidR="0007474D" w:rsidRPr="0007474D" w:rsidRDefault="0007474D" w:rsidP="0007474D">
      <w:r w:rsidRPr="0007474D">
        <w:rPr>
          <w:b/>
          <w:bCs/>
        </w:rPr>
        <w:t>What the business should do:</w:t>
      </w:r>
      <w:r w:rsidRPr="0007474D">
        <w:t xml:space="preserve"> Allocate agent call capacity primarily to Medium and </w:t>
      </w:r>
      <w:r w:rsidR="00063754" w:rsidRPr="0007474D">
        <w:t>High-risk</w:t>
      </w:r>
      <w:r w:rsidRPr="0007474D">
        <w:t xml:space="preserve"> customers, particularly those with premium hikes above 10% or 4 or more claims. Email should be reserved for </w:t>
      </w:r>
      <w:r w:rsidR="00063754" w:rsidRPr="0007474D">
        <w:t>Low-risk</w:t>
      </w:r>
      <w:r w:rsidRPr="0007474D">
        <w:t xml:space="preserve"> customers where the cost of an agent call is not justified by the revenue at stake.</w:t>
      </w:r>
    </w:p>
    <w:p w14:paraId="63EDCF84" w14:textId="77777777" w:rsidR="0007474D" w:rsidRPr="0007474D" w:rsidRDefault="0007474D" w:rsidP="0007474D">
      <w:r w:rsidRPr="0007474D">
        <w:rPr>
          <w:b/>
          <w:bCs/>
        </w:rPr>
        <w:t>Expected impact:</w:t>
      </w:r>
      <w:r w:rsidRPr="0007474D">
        <w:t xml:space="preserve"> Shifting Medium risk customers from email to agent call outreach could reduce their lapse rate by approximately 9 percentage points. Across 235,533 Medium risk customers this represents a substantial recovery of the 2.54 billion currently at risk.</w:t>
      </w:r>
    </w:p>
    <w:p w14:paraId="353EDDB6" w14:textId="77777777" w:rsidR="0007474D" w:rsidRPr="0007474D" w:rsidRDefault="0007474D" w:rsidP="0007474D">
      <w:r w:rsidRPr="0007474D">
        <w:pict w14:anchorId="1E76F833">
          <v:rect id="_x0000_i1062" style="width:0;height:1.5pt" o:hralign="center" o:hrstd="t" o:hr="t" fillcolor="#a0a0a0" stroked="f"/>
        </w:pict>
      </w:r>
    </w:p>
    <w:p w14:paraId="47CC5207" w14:textId="77777777" w:rsidR="0007474D" w:rsidRPr="0007474D" w:rsidRDefault="0007474D" w:rsidP="0007474D">
      <w:pPr>
        <w:pStyle w:val="Heading2"/>
      </w:pPr>
      <w:r w:rsidRPr="0007474D">
        <w:lastRenderedPageBreak/>
        <w:t>Recommendation 3 -- Conduct a Deep Dive Investigation into Region 28</w:t>
      </w:r>
    </w:p>
    <w:p w14:paraId="0473B841" w14:textId="77777777" w:rsidR="0007474D" w:rsidRPr="0007474D" w:rsidRDefault="0007474D" w:rsidP="0007474D">
      <w:r w:rsidRPr="0007474D">
        <w:rPr>
          <w:b/>
          <w:bCs/>
        </w:rPr>
        <w:t>What the data shows:</w:t>
      </w:r>
      <w:r w:rsidRPr="0007474D">
        <w:t xml:space="preserve"> Region 28 accounts for 1.38 billion in revenue at risk, nearly 4x the second highest region. It appears repeatedly in the top 20 highest premium lapsed customers and dominates the revenue at risk by region chart.</w:t>
      </w:r>
    </w:p>
    <w:p w14:paraId="667043B1" w14:textId="5D44EC47" w:rsidR="0007474D" w:rsidRPr="0007474D" w:rsidRDefault="0007474D" w:rsidP="0007474D">
      <w:r w:rsidRPr="0007474D">
        <w:rPr>
          <w:b/>
          <w:bCs/>
        </w:rPr>
        <w:t>What the business should do:</w:t>
      </w:r>
      <w:r w:rsidRPr="0007474D">
        <w:t xml:space="preserve"> Commission a dedicated regional analysis of </w:t>
      </w:r>
      <w:r w:rsidR="00063754" w:rsidRPr="0007474D">
        <w:t>region</w:t>
      </w:r>
      <w:r w:rsidRPr="0007474D">
        <w:t xml:space="preserve"> 28 to understand the root cause of the disproportionate revenue loss. This should examine whether the issue is driven by a specific agent, a local competitor offering better rates, demographic factors, or unusually high premium hikes in that region.</w:t>
      </w:r>
    </w:p>
    <w:p w14:paraId="7BE1D256" w14:textId="77777777" w:rsidR="0007474D" w:rsidRPr="0007474D" w:rsidRDefault="0007474D" w:rsidP="0007474D">
      <w:r w:rsidRPr="0007474D">
        <w:rPr>
          <w:b/>
          <w:bCs/>
        </w:rPr>
        <w:t>Expected impact:</w:t>
      </w:r>
      <w:r w:rsidRPr="0007474D">
        <w:t xml:space="preserve"> Region 28 alone represents 36% of total revenue at risk. Even a 20% improvement in retention within this region would recover approximately 276 million in annual premiums, making it the single highest return investigation the business could undertake.</w:t>
      </w:r>
    </w:p>
    <w:p w14:paraId="214F22CF" w14:textId="77777777" w:rsidR="0007474D" w:rsidRPr="0007474D" w:rsidRDefault="0007474D" w:rsidP="0007474D">
      <w:r w:rsidRPr="0007474D">
        <w:pict w14:anchorId="551C862E">
          <v:rect id="_x0000_i1063" style="width:0;height:1.5pt" o:hralign="center" o:hrstd="t" o:hr="t" fillcolor="#a0a0a0" stroked="f"/>
        </w:pict>
      </w:r>
    </w:p>
    <w:p w14:paraId="73F71286" w14:textId="77777777" w:rsidR="0007474D" w:rsidRPr="0007474D" w:rsidRDefault="0007474D" w:rsidP="0007474D">
      <w:pPr>
        <w:pStyle w:val="Heading2"/>
      </w:pPr>
      <w:r w:rsidRPr="0007474D">
        <w:t>Recommendation 4 -- Develop a Targeted Retention Programme for Customers Aged 46 and Above</w:t>
      </w:r>
    </w:p>
    <w:p w14:paraId="688E88C7" w14:textId="77777777" w:rsidR="0007474D" w:rsidRPr="0007474D" w:rsidRDefault="0007474D" w:rsidP="0007474D">
      <w:r w:rsidRPr="0007474D">
        <w:rPr>
          <w:b/>
          <w:bCs/>
        </w:rPr>
        <w:t>What the data shows:</w:t>
      </w:r>
      <w:r w:rsidRPr="0007474D">
        <w:t xml:space="preserve"> Lapse rate increases consistently with age, from 30.8% for the 18-30 group to 35.9% for customers aged 60 and above. Older customers tend to have higher claim histories, which drives larger premium hikes and increases lapse risk.</w:t>
      </w:r>
    </w:p>
    <w:p w14:paraId="3F221BED" w14:textId="77777777" w:rsidR="0007474D" w:rsidRPr="0007474D" w:rsidRDefault="0007474D" w:rsidP="0007474D">
      <w:r w:rsidRPr="0007474D">
        <w:rPr>
          <w:b/>
          <w:bCs/>
        </w:rPr>
        <w:t>What the business should do:</w:t>
      </w:r>
      <w:r w:rsidRPr="0007474D">
        <w:t xml:space="preserve"> Develop a dedicated retention programme for customers aged 46 and above, combining proactive agent outreach with loyalty recognition. For example, acknowledging long-term membership, offering a policy review, or providing a health screening benefit. The communication should be empathetic and focused on the value of continuous coverage rather than leading with premium discussions.</w:t>
      </w:r>
    </w:p>
    <w:p w14:paraId="0D97F4A1" w14:textId="19908621" w:rsidR="0007474D" w:rsidRPr="0007474D" w:rsidRDefault="0007474D" w:rsidP="0007474D">
      <w:r w:rsidRPr="0007474D">
        <w:rPr>
          <w:b/>
          <w:bCs/>
        </w:rPr>
        <w:t>Expected impact:</w:t>
      </w:r>
      <w:r w:rsidRPr="0007474D">
        <w:t xml:space="preserve"> Reducing lapse rate for the 46 and above segment by 3 to 5 percentage points would meaningfully reduce overall portfolio lapse rate and protect the revenue generated by typically higher-premium older customers.</w:t>
      </w:r>
    </w:p>
    <w:p w14:paraId="0C6C7A34" w14:textId="77777777" w:rsidR="0007474D" w:rsidRDefault="0007474D" w:rsidP="0007474D">
      <w:r w:rsidRPr="0007474D">
        <w:pict w14:anchorId="425481C1">
          <v:rect id="_x0000_i1064" style="width:0;height:1.5pt" o:hralign="center" o:hrstd="t" o:hr="t" fillcolor="#a0a0a0" stroked="f"/>
        </w:pict>
      </w:r>
    </w:p>
    <w:p w14:paraId="4F194624" w14:textId="77777777" w:rsidR="0007474D" w:rsidRPr="0007474D" w:rsidRDefault="0007474D" w:rsidP="0007474D"/>
    <w:p w14:paraId="3898C55A" w14:textId="77777777" w:rsidR="0007474D" w:rsidRPr="0007474D" w:rsidRDefault="0007474D" w:rsidP="0007474D">
      <w:pPr>
        <w:pStyle w:val="Heading2"/>
      </w:pPr>
      <w:r w:rsidRPr="0007474D">
        <w:lastRenderedPageBreak/>
        <w:t>Recommendation 5 -- Treat Premium Hikes Above 10% as an Automatic Retention Trigger</w:t>
      </w:r>
    </w:p>
    <w:p w14:paraId="57D7EAD4" w14:textId="77777777" w:rsidR="0007474D" w:rsidRPr="0007474D" w:rsidRDefault="0007474D" w:rsidP="0007474D">
      <w:r w:rsidRPr="0007474D">
        <w:rPr>
          <w:b/>
          <w:bCs/>
        </w:rPr>
        <w:t>What the data shows:</w:t>
      </w:r>
      <w:r w:rsidRPr="0007474D">
        <w:t xml:space="preserve"> Lapse rate rises from 19.5% for customers with minimal premium increases to 48.2% for those facing hikes above 20%. The jump between the 6-10% and 11-20% bands is particularly sharp, representing a </w:t>
      </w:r>
      <w:proofErr w:type="gramStart"/>
      <w:r w:rsidRPr="0007474D">
        <w:t>10 percentage</w:t>
      </w:r>
      <w:proofErr w:type="gramEnd"/>
      <w:r w:rsidRPr="0007474D">
        <w:t xml:space="preserve"> point increase in lapse rate.</w:t>
      </w:r>
    </w:p>
    <w:p w14:paraId="1158BEC1" w14:textId="77777777" w:rsidR="0007474D" w:rsidRPr="0007474D" w:rsidRDefault="0007474D" w:rsidP="0007474D">
      <w:r w:rsidRPr="0007474D">
        <w:rPr>
          <w:b/>
          <w:bCs/>
        </w:rPr>
        <w:t>What the business should do:</w:t>
      </w:r>
      <w:r w:rsidRPr="0007474D">
        <w:t xml:space="preserve"> Any customer receiving a premium hike above 10% should automatically be flagged for retention outreach before the renewal date. The outreach should explain the reason for the increase, present the value of their existing coverage, and where appropriate offer a loyalty discount or flexible payment option to soften the impact.</w:t>
      </w:r>
    </w:p>
    <w:p w14:paraId="149AAFA2" w14:textId="77777777" w:rsidR="0007474D" w:rsidRPr="0007474D" w:rsidRDefault="0007474D" w:rsidP="0007474D">
      <w:r w:rsidRPr="0007474D">
        <w:rPr>
          <w:b/>
          <w:bCs/>
        </w:rPr>
        <w:t>Expected impact:</w:t>
      </w:r>
      <w:r w:rsidRPr="0007474D">
        <w:t xml:space="preserve"> Customers in the 11-20% hike band lapse at 36% and those in the 20% and above band at 48%. A successful intervention that moves even 15% of these customers back toward the 6-10% band lapse rate of 25% would protect significant revenue across the portfolio.</w:t>
      </w:r>
    </w:p>
    <w:p w14:paraId="0D509233" w14:textId="77777777" w:rsidR="0007474D" w:rsidRPr="0007474D" w:rsidRDefault="0007474D" w:rsidP="0007474D">
      <w:r w:rsidRPr="0007474D">
        <w:pict w14:anchorId="3F02AA4C">
          <v:rect id="_x0000_i1065" style="width:0;height:1.5pt" o:hralign="center" o:hrstd="t" o:hr="t" fillcolor="#a0a0a0" stroked="f"/>
        </w:pict>
      </w:r>
    </w:p>
    <w:p w14:paraId="670578C7" w14:textId="77777777" w:rsidR="0007474D" w:rsidRPr="0007474D" w:rsidRDefault="0007474D" w:rsidP="0007474D">
      <w:pPr>
        <w:pStyle w:val="Heading2"/>
      </w:pPr>
      <w:r w:rsidRPr="0007474D">
        <w:t>Recommendation 6 -- Introduce Flexible Payment Plans for Financially Stressed Customers</w:t>
      </w:r>
    </w:p>
    <w:p w14:paraId="57F76AB8" w14:textId="220D2DAD" w:rsidR="0007474D" w:rsidRPr="0007474D" w:rsidRDefault="0007474D" w:rsidP="0007474D">
      <w:r w:rsidRPr="0007474D">
        <w:rPr>
          <w:b/>
          <w:bCs/>
        </w:rPr>
        <w:t>What the data shows:</w:t>
      </w:r>
      <w:r w:rsidRPr="0007474D">
        <w:t xml:space="preserve"> Customers with 1 to 3 late payments show a sharp </w:t>
      </w:r>
      <w:r w:rsidR="00063754" w:rsidRPr="0007474D">
        <w:t>drop-in</w:t>
      </w:r>
      <w:r w:rsidRPr="0007474D">
        <w:t xml:space="preserve"> renewal rate from 74.7% to around 52%. </w:t>
      </w:r>
      <w:r w:rsidR="00063754" w:rsidRPr="0007474D">
        <w:t>However,</w:t>
      </w:r>
      <w:r w:rsidRPr="0007474D">
        <w:t xml:space="preserve"> this rate plateaus and does not continue falling, suggesting these customers want to keep their insurance but are struggling financially. They are insurance-dependent but cash-constrained.</w:t>
      </w:r>
    </w:p>
    <w:p w14:paraId="49C5FB6C" w14:textId="77777777" w:rsidR="0007474D" w:rsidRPr="0007474D" w:rsidRDefault="0007474D" w:rsidP="0007474D">
      <w:r w:rsidRPr="0007474D">
        <w:rPr>
          <w:b/>
          <w:bCs/>
        </w:rPr>
        <w:t>What the business should do:</w:t>
      </w:r>
      <w:r w:rsidRPr="0007474D">
        <w:t xml:space="preserve"> Identify customers with 2 or more late payments and proactively offer flexible payment options such as monthly instalments, extended grace periods, or temporary premium reductions. The outreach should be handled sensitively by agents rather than automated emails, as financial stress requires a human conversation.</w:t>
      </w:r>
    </w:p>
    <w:p w14:paraId="4B4B2B43" w14:textId="77777777" w:rsidR="0007474D" w:rsidRPr="0007474D" w:rsidRDefault="0007474D" w:rsidP="0007474D">
      <w:r w:rsidRPr="0007474D">
        <w:rPr>
          <w:b/>
          <w:bCs/>
        </w:rPr>
        <w:t>Expected impact:</w:t>
      </w:r>
      <w:r w:rsidRPr="0007474D">
        <w:t xml:space="preserve"> Retaining customers in the 2 to 3 late payment band, who currently lapse at around 52%, is achievable because they have demonstrated a desire to maintain coverage. Even moving 10% of this group back toward the 0 late payment renewal rate of 74.7% would recover meaningful revenue while also reducing the cost of acquiring replacement customers.</w:t>
      </w:r>
    </w:p>
    <w:p w14:paraId="1DC778B1" w14:textId="77777777" w:rsidR="0007474D" w:rsidRPr="0007474D" w:rsidRDefault="0007474D" w:rsidP="0007474D">
      <w:r w:rsidRPr="0007474D">
        <w:pict w14:anchorId="644BEFA3">
          <v:rect id="_x0000_i1066" style="width:0;height:1.5pt" o:hralign="center" o:hrstd="t" o:hr="t" fillcolor="#a0a0a0" stroked="f"/>
        </w:pict>
      </w:r>
    </w:p>
    <w:p w14:paraId="086DDF7E" w14:textId="77777777" w:rsidR="0007474D" w:rsidRPr="0007474D" w:rsidRDefault="0007474D" w:rsidP="0007474D">
      <w:pPr>
        <w:pStyle w:val="Heading2"/>
      </w:pPr>
      <w:r w:rsidRPr="0007474D">
        <w:lastRenderedPageBreak/>
        <w:t>Recommendation 7 -- Use the 4-Claim Threshold as an Early Warning System</w:t>
      </w:r>
    </w:p>
    <w:p w14:paraId="7A23994C" w14:textId="77777777" w:rsidR="0007474D" w:rsidRPr="0007474D" w:rsidRDefault="0007474D" w:rsidP="0007474D">
      <w:r w:rsidRPr="0007474D">
        <w:rPr>
          <w:b/>
          <w:bCs/>
        </w:rPr>
        <w:t>What the data shows:</w:t>
      </w:r>
      <w:r w:rsidRPr="0007474D">
        <w:t xml:space="preserve"> Lapse rate jumps sharply from 38% at 3 claims to 49% at 4 claims, the single largest single-step increase in the entire dataset. Once a customer crosses 4 claims their risk profile changes dramatically.</w:t>
      </w:r>
    </w:p>
    <w:p w14:paraId="42BCDF1D" w14:textId="77777777" w:rsidR="0007474D" w:rsidRPr="0007474D" w:rsidRDefault="0007474D" w:rsidP="0007474D">
      <w:r w:rsidRPr="0007474D">
        <w:rPr>
          <w:b/>
          <w:bCs/>
        </w:rPr>
        <w:t>What the business should do:</w:t>
      </w:r>
      <w:r w:rsidRPr="0007474D">
        <w:t xml:space="preserve"> Build an automated alert that flags any customer the moment they file their 4th claim. At this point, before the premium hike is issued, an agent should reach out to discuss the customer's coverage, explain what the claim history means for their premium, and explore retention options. The conversation is far more effective before the hike lands than after.</w:t>
      </w:r>
    </w:p>
    <w:p w14:paraId="62C82197" w14:textId="77777777" w:rsidR="0007474D" w:rsidRPr="0007474D" w:rsidRDefault="0007474D" w:rsidP="0007474D">
      <w:r w:rsidRPr="0007474D">
        <w:rPr>
          <w:b/>
          <w:bCs/>
        </w:rPr>
        <w:t>Expected impact:</w:t>
      </w:r>
      <w:r w:rsidRPr="0007474D">
        <w:t xml:space="preserve"> Intervening at the 4-claim threshold rather than after the premium hike gives the business a window where the customer is still engaged. Catching customers at this stage and successfully retaining even 20% of those who would otherwise lapse could recover hundreds of millions in premium revenue that currently leaves the portfolio silently at renewal.</w:t>
      </w:r>
    </w:p>
    <w:p w14:paraId="6AC6CE03" w14:textId="77777777" w:rsidR="0096562A" w:rsidRDefault="0096562A"/>
    <w:sectPr w:rsidR="0096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32"/>
    <w:rsid w:val="00063754"/>
    <w:rsid w:val="0007474D"/>
    <w:rsid w:val="000A3962"/>
    <w:rsid w:val="003B05AD"/>
    <w:rsid w:val="007770CC"/>
    <w:rsid w:val="00906CD7"/>
    <w:rsid w:val="0096562A"/>
    <w:rsid w:val="00BB5CD3"/>
    <w:rsid w:val="00CF6AD5"/>
    <w:rsid w:val="00D93932"/>
    <w:rsid w:val="00E22064"/>
    <w:rsid w:val="00F5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7E36"/>
  <w15:chartTrackingRefBased/>
  <w15:docId w15:val="{A7572AE6-EB35-46AC-B20B-26AD057F6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3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3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32"/>
    <w:rPr>
      <w:rFonts w:eastAsiaTheme="majorEastAsia" w:cstheme="majorBidi"/>
      <w:color w:val="272727" w:themeColor="text1" w:themeTint="D8"/>
    </w:rPr>
  </w:style>
  <w:style w:type="paragraph" w:styleId="Title">
    <w:name w:val="Title"/>
    <w:basedOn w:val="Normal"/>
    <w:next w:val="Normal"/>
    <w:link w:val="TitleChar"/>
    <w:uiPriority w:val="10"/>
    <w:qFormat/>
    <w:rsid w:val="00D9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32"/>
    <w:pPr>
      <w:spacing w:before="160"/>
      <w:jc w:val="center"/>
    </w:pPr>
    <w:rPr>
      <w:i/>
      <w:iCs/>
      <w:color w:val="404040" w:themeColor="text1" w:themeTint="BF"/>
    </w:rPr>
  </w:style>
  <w:style w:type="character" w:customStyle="1" w:styleId="QuoteChar">
    <w:name w:val="Quote Char"/>
    <w:basedOn w:val="DefaultParagraphFont"/>
    <w:link w:val="Quote"/>
    <w:uiPriority w:val="29"/>
    <w:rsid w:val="00D93932"/>
    <w:rPr>
      <w:i/>
      <w:iCs/>
      <w:color w:val="404040" w:themeColor="text1" w:themeTint="BF"/>
    </w:rPr>
  </w:style>
  <w:style w:type="paragraph" w:styleId="ListParagraph">
    <w:name w:val="List Paragraph"/>
    <w:basedOn w:val="Normal"/>
    <w:uiPriority w:val="34"/>
    <w:qFormat/>
    <w:rsid w:val="00D93932"/>
    <w:pPr>
      <w:ind w:left="720"/>
      <w:contextualSpacing/>
    </w:pPr>
  </w:style>
  <w:style w:type="character" w:styleId="IntenseEmphasis">
    <w:name w:val="Intense Emphasis"/>
    <w:basedOn w:val="DefaultParagraphFont"/>
    <w:uiPriority w:val="21"/>
    <w:qFormat/>
    <w:rsid w:val="00D93932"/>
    <w:rPr>
      <w:i/>
      <w:iCs/>
      <w:color w:val="2F5496" w:themeColor="accent1" w:themeShade="BF"/>
    </w:rPr>
  </w:style>
  <w:style w:type="paragraph" w:styleId="IntenseQuote">
    <w:name w:val="Intense Quote"/>
    <w:basedOn w:val="Normal"/>
    <w:next w:val="Normal"/>
    <w:link w:val="IntenseQuoteChar"/>
    <w:uiPriority w:val="30"/>
    <w:qFormat/>
    <w:rsid w:val="00D93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932"/>
    <w:rPr>
      <w:i/>
      <w:iCs/>
      <w:color w:val="2F5496" w:themeColor="accent1" w:themeShade="BF"/>
    </w:rPr>
  </w:style>
  <w:style w:type="character" w:styleId="IntenseReference">
    <w:name w:val="Intense Reference"/>
    <w:basedOn w:val="DefaultParagraphFont"/>
    <w:uiPriority w:val="32"/>
    <w:qFormat/>
    <w:rsid w:val="00D939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Hrishikesh Nair</dc:creator>
  <cp:keywords/>
  <dc:description/>
  <cp:lastModifiedBy>Hrishikesh Nair</cp:lastModifiedBy>
  <cp:revision>3</cp:revision>
  <dcterms:created xsi:type="dcterms:W3CDTF">2026-06-07T20:13:00Z</dcterms:created>
  <dcterms:modified xsi:type="dcterms:W3CDTF">2026-06-07T20:17:00Z</dcterms:modified>
</cp:coreProperties>
</file>