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</w:pPr>
      <w:r>
        <w:rPr>
          <w:rFonts w:ascii="Calibri" w:hAnsi="Calibri"/>
          <w:b/>
          <w:i w:val="0"/>
          <w:color w:val="2E74B5"/>
          <w:sz w:val="19"/>
        </w:rPr>
        <w:t>RESEARCH BRIEF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0B2545"/>
          <w:sz w:val="48"/>
        </w:rPr>
        <w:t>Learned Planning Heuristics</w:t>
      </w:r>
    </w:p>
    <w:p>
      <w:pPr>
        <w:keepNext/>
        <w:spacing w:before="0" w:after="280"/>
      </w:pPr>
      <w:r>
        <w:rPr>
          <w:rFonts w:ascii="Calibri" w:hAnsi="Calibri"/>
          <w:b w:val="0"/>
          <w:i w:val="0"/>
          <w:color w:val="1F4D78"/>
          <w:sz w:val="27"/>
        </w:rPr>
        <w:t>Complete Experimental History, Current Evidence, and Publication Priorities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Prepared for: </w:t>
      </w:r>
      <w:r>
        <w:rPr>
          <w:rFonts w:ascii="Calibri" w:hAnsi="Calibri"/>
          <w:b w:val="0"/>
          <w:i w:val="0"/>
          <w:color w:val="1A1A1A"/>
          <w:sz w:val="20"/>
        </w:rPr>
        <w:t>Research review and paper planning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Date: </w:t>
      </w:r>
      <w:r>
        <w:rPr>
          <w:rFonts w:ascii="Calibri" w:hAnsi="Calibri"/>
          <w:b w:val="0"/>
          <w:i w:val="0"/>
          <w:color w:val="1A1A1A"/>
          <w:sz w:val="20"/>
        </w:rPr>
        <w:t>July 13, 2026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Coverage: </w:t>
      </w:r>
      <w:r>
        <w:rPr>
          <w:rFonts w:ascii="Calibri" w:hAnsi="Calibri"/>
          <w:b w:val="0"/>
          <w:i w:val="0"/>
          <w:color w:val="1A1A1A"/>
          <w:sz w:val="20"/>
        </w:rPr>
        <w:t>Discrete forecasting, learned A*, direct-solver fidelity, continuous PRM C1-C12, and cross-space synthesis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Evidence status: </w:t>
      </w:r>
      <w:r>
        <w:rPr>
          <w:rFonts w:ascii="Calibri" w:hAnsi="Calibri"/>
          <w:b w:val="0"/>
          <w:i w:val="0"/>
          <w:color w:val="1A1A1A"/>
          <w:sz w:val="20"/>
        </w:rPr>
        <w:t>Internal research brief; publication claims require the qualifications stated below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E8EEF5"/>
              <w:bottom w:val="single" w:sz="4" w:color="E8EEF5"/>
              <w:start w:val="single" w:sz="18" w:color="2E74B5"/>
              <w:end w:val="single" w:sz="4" w:color="E8EEF5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Bottom line. 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Learned guidance can materially reduce search effort, but the repeated determinant is representation, planner integration, information access, and supervision regime - not a stable advantage for nominally hierarchical architectures. The latest hierarchy-specific tests, C11 and C12, both close negative under their preregistered gates.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Executive summary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Efficiency gains are real in calibrated regimes. C7 reports roughly 15-48% fewer matched expansions on static continuous PRMs; C8 reports about 65-95% fewer on dynamic suites. The discrete focal pilot produces a smaller but mechanistically clean 6-15% reduction.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The architecture result is task-dependent, not hierarchy-positive. Early forecasting slightly favored HRM on one matched task and ON-LSTM on the harder Preset M+ task. Across learned heuristic regression, HRM, ON-LSTM, and U-Net each lead in different cells, with U-Net often strongest.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Transfer depends on the amount and structure of supervision. Static C9/C9h show low-rank adaptation preserving a strong pooled base at very low data, while full-rank adaptation has the higher data-rich ceiling. Under dynamics, one world supplies roughly 25k+ supervised states, so the apparent few-shot crossover disappears.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The hierarchy-specific closure is negative. C11 finds large compositional oracle headroom but no structure/depth dose-response. The completed C12 pilot confirms memory-relevant headroom, then finds no forecast, planning, or carry benefit for the selected temporal hierarchy and ends strong-negative.</w:t>
      </w:r>
    </w:p>
    <w:p>
      <w:pPr>
        <w:pStyle w:val="TableCaption"/>
        <w:pageBreakBefore/>
      </w:pPr>
      <w:r>
        <w:t>Program trajectory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700"/>
        <w:gridCol w:w="1860"/>
      </w:tblGrid>
      <w:tr>
        <w:trPr>
          <w:trHeight w:hRule="atLeast"/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Phase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Central question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Outcome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Current status</w:t>
            </w:r>
          </w:p>
        </w:tc>
      </w:tr>
      <w:tr>
        <w:tc>
          <w:tcPr>
            <w:tcW w:type="dxa" w:w="13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Discrete forecasting</w:t>
            </w:r>
          </w:p>
        </w:tc>
        <w:tc>
          <w:tcPr>
            <w:tcW w:type="dxa" w:w="25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Can recurrent hierarchy predict moving obstacles better?</w:t>
            </w:r>
          </w:p>
        </w:tc>
        <w:tc>
          <w:tcPr>
            <w:tcW w:type="dxa" w:w="3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Mixed, task-dependent separation.</w:t>
            </w:r>
          </w:p>
        </w:tc>
        <w:tc>
          <w:tcPr>
            <w:tcW w:type="dxa" w:w="18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FF8E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Descriptive</w:t>
            </w:r>
          </w:p>
        </w:tc>
      </w:tr>
      <w:tr>
        <w:tc>
          <w:tcPr>
            <w:tcW w:type="dxa" w:w="13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Discrete learned A*</w:t>
            </w:r>
          </w:p>
        </w:tc>
        <w:tc>
          <w:tcPr>
            <w:tcW w:type="dxa" w:w="25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Can learned residual magnitude beat Manhattan A*?</w:t>
            </w:r>
          </w:p>
        </w:tc>
        <w:tc>
          <w:tcPr>
            <w:tcW w:type="dxa" w:w="3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Mostly negative until the signal is used as a focal ranker.</w:t>
            </w:r>
          </w:p>
        </w:tc>
        <w:tc>
          <w:tcPr>
            <w:tcW w:type="dxa" w:w="1860"/>
            <w:shd w:fill="FFF8E8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Pilot positive</w:t>
            </w:r>
          </w:p>
        </w:tc>
      </w:tr>
      <w:tr>
        <w:tc>
          <w:tcPr>
            <w:tcW w:type="dxa" w:w="13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Continuous C1-C5</w:t>
            </w:r>
          </w:p>
        </w:tc>
        <w:tc>
          <w:tcPr>
            <w:tcW w:type="dxa" w:w="25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Is there enough search headroom to distinguish methods?</w:t>
            </w:r>
          </w:p>
        </w:tc>
        <w:tc>
          <w:tcPr>
            <w:tcW w:type="dxa" w:w="3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Easy maps saturate; calibrated hard maps create usable headroom.</w:t>
            </w:r>
          </w:p>
        </w:tc>
        <w:tc>
          <w:tcPr>
            <w:tcW w:type="dxa" w:w="18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Setup established</w:t>
            </w:r>
          </w:p>
        </w:tc>
      </w:tr>
      <w:tr>
        <w:tc>
          <w:tcPr>
            <w:tcW w:type="dxa" w:w="13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Continuous C6-C8</w:t>
            </w:r>
          </w:p>
        </w:tc>
        <w:tc>
          <w:tcPr>
            <w:tcW w:type="dxa" w:w="25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Do representation, integration, and future context matter?</w:t>
            </w:r>
          </w:p>
        </w:tc>
        <w:tc>
          <w:tcPr>
            <w:tcW w:type="dxa" w:w="3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Strong learned efficiency; no stable hierarchy or future-window advantage.</w:t>
            </w:r>
          </w:p>
        </w:tc>
        <w:tc>
          <w:tcPr>
            <w:tcW w:type="dxa" w:w="18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Canonical local</w:t>
            </w:r>
          </w:p>
        </w:tc>
      </w:tr>
      <w:tr>
        <w:tc>
          <w:tcPr>
            <w:tcW w:type="dxa" w:w="13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Continuous C9-C10</w:t>
            </w:r>
          </w:p>
        </w:tc>
        <w:tc>
          <w:tcPr>
            <w:tcW w:type="dxa" w:w="25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How do adaptation and adapter composition behave?</w:t>
            </w:r>
          </w:p>
        </w:tc>
        <w:tc>
          <w:tcPr>
            <w:tcW w:type="dxa" w:w="3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Pooled priors transfer; low rank is robust but limited; interpolation is null.</w:t>
            </w:r>
          </w:p>
        </w:tc>
        <w:tc>
          <w:tcPr>
            <w:tcW w:type="dxa" w:w="18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Reanalysis needed</w:t>
            </w:r>
          </w:p>
        </w:tc>
      </w:tr>
      <w:tr>
        <w:tc>
          <w:tcPr>
            <w:tcW w:type="dxa" w:w="13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C11</w:t>
            </w:r>
          </w:p>
        </w:tc>
        <w:tc>
          <w:tcPr>
            <w:tcW w:type="dxa" w:w="25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Does compositional depth expose hierarchy?</w:t>
            </w:r>
          </w:p>
        </w:tc>
        <w:tc>
          <w:tcPr>
            <w:tcW w:type="dxa" w:w="3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Large oracle headroom, shallow global-input gains, no depth dose-response.</w:t>
            </w:r>
          </w:p>
        </w:tc>
        <w:tc>
          <w:tcPr>
            <w:tcW w:type="dxa" w:w="186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Negative</w:t>
            </w:r>
          </w:p>
        </w:tc>
      </w:tr>
      <w:tr>
        <w:tc>
          <w:tcPr>
            <w:tcW w:type="dxa" w:w="13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C12</w:t>
            </w:r>
          </w:p>
        </w:tc>
        <w:tc>
          <w:tcPr>
            <w:tcW w:type="dxa" w:w="25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Does persistent memory help when history is necessary?</w:t>
            </w:r>
          </w:p>
        </w:tc>
        <w:tc>
          <w:tcPr>
            <w:tcW w:type="dxa" w:w="3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G0 headroom passes; learned hierarchy fails forecast, planning, and carry gates.</w:t>
            </w:r>
          </w:p>
        </w:tc>
        <w:tc>
          <w:tcPr>
            <w:tcW w:type="dxa" w:w="18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Development-only negative</w:t>
            </w:r>
          </w:p>
        </w:tc>
      </w:tr>
    </w:tbl>
    <w:p>
      <w:pPr>
        <w:pStyle w:val="TableSource"/>
      </w:pPr>
      <w:r>
        <w:t>Evidence basis: MASTER_EXPERIMENT_SYNTHESIS.md and the canonical stage reports listed throughout this brief. C12 status is refreshed from the completed pilot manifest and final analysis.</w:t>
      </w:r>
    </w:p>
    <w:p>
      <w:pPr>
        <w:pStyle w:val="Heading1"/>
        <w:keepNext/>
      </w:pPr>
      <w:r>
        <w:t>1. Evidence discipline and metric definitions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This brief preserves the full major-stage history, including negative, interrupted, and superseded results. It does not average incompatible protocols together or treat repeated evaluations of the same TEST worlds as independent worlds.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Metric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Definition and interpretation</w:t>
            </w:r>
          </w:p>
        </w:tc>
      </w:tr>
      <w:tr>
        <w:tc>
          <w:tcPr>
            <w:tcW w:type="dxa" w:w="1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Success</w:t>
            </w:r>
          </w:p>
        </w:tc>
        <w:tc>
          <w:tcPr>
            <w:tcW w:type="dxa" w:w="76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Fraction of episodes/worlds that reach a valid solution within the experiment's fixed search or step budget.</w:t>
            </w:r>
          </w:p>
        </w:tc>
      </w:tr>
      <w:tr>
        <w:tc>
          <w:tcPr>
            <w:tcW w:type="dxa" w:w="1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Mean expansions</w:t>
            </w:r>
          </w:p>
        </w:tc>
        <w:tc>
          <w:tcPr>
            <w:tcW w:type="dxa" w:w="76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Unconditional A* node expansions. Most common in C1-C6 and early discrete work.</w:t>
            </w:r>
          </w:p>
        </w:tc>
      </w:tr>
      <w:tr>
        <w:tc>
          <w:tcPr>
            <w:tcW w:type="dxa" w:w="1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Expansion ratio</w:t>
            </w:r>
          </w:p>
        </w:tc>
        <w:tc>
          <w:tcPr>
            <w:tcW w:type="dxa" w:w="76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Learned-arm expansions divided by baseline expansions on worlds both solve. Below 1 is better, but solved-only conditioning can hide success differences.</w:t>
            </w:r>
          </w:p>
        </w:tc>
      </w:tr>
      <w:tr>
        <w:tc>
          <w:tcPr>
            <w:tcW w:type="dxa" w:w="1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Suboptimality / regret</w:t>
            </w:r>
          </w:p>
        </w:tc>
        <w:tc>
          <w:tcPr>
            <w:tcW w:type="dxa" w:w="76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Path cost, makespan, or arrival regret relative to an exact or privileged reference.</w:t>
            </w:r>
          </w:p>
        </w:tc>
      </w:tr>
      <w:tr>
        <w:tc>
          <w:tcPr>
            <w:tcW w:type="dxa" w:w="1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K</w:t>
            </w:r>
          </w:p>
        </w:tc>
        <w:tc>
          <w:tcPr>
            <w:tcW w:type="dxa" w:w="76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Labeled adaptation worlds in C9/C9h/C9b; mission length in C11. These uses are unrelated.</w:t>
            </w:r>
          </w:p>
        </w:tc>
      </w:tr>
      <w:tr>
        <w:tc>
          <w:tcPr>
            <w:tcW w:type="dxa" w:w="1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Evidence status</w:t>
            </w:r>
          </w:p>
        </w:tc>
        <w:tc>
          <w:tcPr>
            <w:tcW w:type="dxa" w:w="76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Canonical local, completed descriptive, pilot/directional, negative/null, historical/superseded, or development-only.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top w:val="single" w:sz="4" w:color="FFF8E8"/>
              <w:bottom w:val="single" w:sz="4" w:color="FFF8E8"/>
              <w:start w:val="single" w:sz="18" w:color="7A5A00"/>
              <w:end w:val="single" w:sz="4" w:color="FFF8E8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Interpretation rule. 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 null means no improvement was observed under the tested protocol. It is not an equivalence claim unless an explicit equivalence or noninferiority test was run.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Discrete-space experimental history</w:t>
      </w:r>
    </w:p>
    <w:p>
      <w:pPr>
        <w:pStyle w:val="Heading2"/>
        <w:keepNext/>
      </w:pPr>
      <w:r>
        <w:t>2.1 Dynamic-world forecasting and planning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earliest discrete program predicted obstacle trajectories and then replanned with space-time A*. These studies established that learned recurrence can support dynamic planning, but they did not establish a stable hierarchy advantage.</w:t>
      </w:r>
    </w:p>
    <w:p>
      <w:pPr>
        <w:pStyle w:val="TableCaption"/>
      </w:pPr>
      <w:r>
        <w:t>Discrete forecasting chronology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rHeight w:hRule="atLeast"/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Stage / protocol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Headline evidence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Evidence-safe interpretation</w:t>
            </w:r>
          </w:p>
        </w:tc>
      </w:tr>
      <w:tr>
        <w:tc>
          <w:tcPr>
            <w:tcW w:type="dxa" w:w="19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Early HRM scaling and diffusion (50 episodes)</w:t>
            </w:r>
          </w:p>
        </w:tc>
        <w:tc>
          <w:tcPr>
            <w:tcW w:type="dxa" w:w="31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Small/mid/full HRM: 52% / 62% / 68% success. Paired LSTM rows: 72% / 68% / 66%. Oracle A*: 98%. Diffusion: 60-64%.</w:t>
            </w:r>
          </w:p>
        </w:tc>
        <w:tc>
          <w:tcPr>
            <w:tcW w:type="dxa" w:w="43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Descriptive development result. Information access differs for diffusion; 50 episodes are too few for architecture claims.</w:t>
            </w:r>
          </w:p>
        </w:tc>
      </w:tr>
      <w:tr>
        <w:tc>
          <w:tcPr>
            <w:tcW w:type="dxa" w:w="19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Matched LSTM vs HRM (100 shared episodes)</w:t>
            </w:r>
          </w:p>
        </w:tc>
        <w:tc>
          <w:tcPr>
            <w:tcW w:type="dxa" w:w="31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HRM 3M and 10M: 71/100. LSTM 3M: 69/100; LSTM 10M: 68/100; small LSTMs: 67/100.</w:t>
            </w:r>
          </w:p>
        </w:tc>
        <w:tc>
          <w:tcPr>
            <w:tcW w:type="dxa" w:w="43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HRM is viable and slightly higher in this protocol, but the gap is two to three episodes with no uncertainty.</w:t>
            </w:r>
          </w:p>
        </w:tc>
      </w:tr>
      <w:tr>
        <w:tc>
          <w:tcPr>
            <w:tcW w:type="dxa" w:w="19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Preset M+ structured dynamics</w:t>
            </w:r>
          </w:p>
        </w:tc>
        <w:tc>
          <w:tcPr>
            <w:tcW w:type="dxa" w:w="31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Best mean success: ON-LSTM 10M 0.3875; HRM small 0.3425; HRM 10M 0.2650. ON-LSTM 3M also has the lowest rollout MSE.</w:t>
            </w:r>
          </w:p>
        </w:tc>
        <w:tc>
          <w:tcPr>
            <w:tcW w:type="dxa" w:w="43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Strong descriptive counterexample to a blanket HRM advantage. Expansion totals are confounded by earlier termination.</w:t>
            </w:r>
          </w:p>
        </w:tc>
      </w:tr>
      <w:tr>
        <w:tc>
          <w:tcPr>
            <w:tcW w:type="dxa" w:w="19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External LSTM-augmented A* paper</w:t>
            </w:r>
          </w:p>
        </w:tc>
        <w:tc>
          <w:tcPr>
            <w:tcW w:type="dxa" w:w="31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Reported test MSE 0.0024 and robustness mean 65.60% +/- 15.72 across 150 trials.</w:t>
            </w:r>
          </w:p>
        </w:tc>
        <w:tc>
          <w:tcPr>
            <w:tcW w:type="dxa" w:w="43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Literature context only; simulator and metric conventions are not directly comparable with this repository.</w:t>
            </w:r>
          </w:p>
        </w:tc>
      </w:tr>
    </w:tbl>
    <w:p>
      <w:pPr>
        <w:pStyle w:val="TableSource"/>
      </w:pPr>
      <w:r>
        <w:t>Primary sources: BENCHMARK_RESULTS.md; LSTM_VS_HRM_EXPERIMENT.md; ONLSTM_VS_HRM_EXPERIMENT_PRESETM_V2.md; LSTM-augmented A* background paper.</w:t>
      </w:r>
    </w:p>
    <w:p>
      <w:pPr>
        <w:pStyle w:val="Heading2"/>
        <w:keepNext/>
      </w:pPr>
      <w:r>
        <w:t>2.2 Learned A* heuristics, transfer, and focal integration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second discrete line learned a residual correction to Manhattan A*. The chronological lesson is that the model contained useful ordering information, but its scale and additive integration suppressed that value.</w:t>
      </w:r>
    </w:p>
    <w:p>
      <w:pPr>
        <w:pStyle w:val="TableCaption"/>
      </w:pPr>
      <w:r>
        <w:t>Discrete learned-heuristic chronology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20"/>
        <w:gridCol w:w="4040"/>
      </w:tblGrid>
      <w:tr>
        <w:trPr>
          <w:trHeight w:hRule="atLeast"/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Stage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Headline evidence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 and learning</w:t>
            </w:r>
          </w:p>
        </w:tc>
      </w:tr>
      <w:tr>
        <w:tc>
          <w:tcPr>
            <w:tcW w:type="dxa" w:w="18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Transfer-RL zero-shot</w:t>
            </w:r>
          </w:p>
        </w:tc>
        <w:tc>
          <w:tcPr>
            <w:tcW w:type="dxa" w:w="352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Static A*: 0.967 success / 143,319 expansions. HRM: 0.961 / 142,193. ON-LSTM: 0.956 / 141,255.</w:t>
            </w:r>
          </w:p>
        </w:tc>
        <w:tc>
          <w:tcPr>
            <w:tcW w:type="dxa" w:w="404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Negative: slightly fewer expansions accompany lower success.</w:t>
            </w:r>
          </w:p>
        </w:tc>
      </w:tr>
      <w:tr>
        <w:tc>
          <w:tcPr>
            <w:tcW w:type="dxa" w:w="18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Original imitation/LoRA and map-scale follow-up</w:t>
            </w:r>
          </w:p>
        </w:tc>
        <w:tc>
          <w:tcPr>
            <w:tcW w:type="dxa" w:w="352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Baseline, HRM, and ON-LSTM track near-identically at mean success 0.797-0.803; hard Family-B suites remain unchanged.</w:t>
            </w:r>
          </w:p>
        </w:tc>
        <w:tc>
          <w:tcPr>
            <w:tcW w:type="dxa" w:w="404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Negative: the bottleneck is family shift and an inert planner interface, not map size alone.</w:t>
            </w:r>
          </w:p>
        </w:tc>
      </w:tr>
      <w:tr>
        <w:tc>
          <w:tcPr>
            <w:tcW w:type="dxa" w:w="18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Clean transfer v3</w:t>
            </w:r>
          </w:p>
        </w:tc>
        <w:tc>
          <w:tcPr>
            <w:tcW w:type="dxa" w:w="352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Manhattan 0.590 / 126,707. HRM full-FT 0.585 / 128,013; HRM LoRA 0.554 / 140,852. ON-LSTM arms are lower.</w:t>
            </w:r>
          </w:p>
        </w:tc>
        <w:tc>
          <w:tcPr>
            <w:tcW w:type="dxa" w:w="404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Canonical negative: every learned arm underperforms matched Manhattan.</w:t>
            </w:r>
          </w:p>
        </w:tc>
      </w:tr>
      <w:tr>
        <w:tc>
          <w:tcPr>
            <w:tcW w:type="dxa" w:w="18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CondLoRA / HyperLoRA</w:t>
            </w:r>
          </w:p>
        </w:tc>
        <w:tc>
          <w:tcPr>
            <w:tcW w:type="dxa" w:w="352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ON-LSTM average fine-tuning 0.517; HyperLoRA 0.551 on a smaller, easier subset.</w:t>
            </w:r>
          </w:p>
        </w:tc>
        <w:tc>
          <w:tcPr>
            <w:tcW w:type="dxa" w:w="404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Incomplete and unfavorable; exclude from headline claims.</w:t>
            </w:r>
          </w:p>
        </w:tc>
      </w:tr>
      <w:tr>
        <w:tc>
          <w:tcPr>
            <w:tcW w:type="dxa" w:w="18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Multitask pooled base</w:t>
            </w:r>
          </w:p>
        </w:tc>
        <w:tc>
          <w:tcPr>
            <w:tcW w:type="dxa" w:w="352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Manhattan 0.591 / 126,630. Pooled HRM 0.612 / 122,184; pooled ON-LSTM 0.545 / 139,254.</w:t>
            </w:r>
          </w:p>
        </w:tc>
        <w:tc>
          <w:tcPr>
            <w:tcW w:type="dxa" w:w="404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Strongest completed discrete additive signal. The pooled HRM prior, not specialization, is the positive result.</w:t>
            </w:r>
          </w:p>
        </w:tc>
      </w:tr>
      <w:tr>
        <w:tc>
          <w:tcPr>
            <w:tcW w:type="dxa" w:w="18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Residual TaskLoRA v2</w:t>
            </w:r>
          </w:p>
        </w:tc>
        <w:tc>
          <w:tcPr>
            <w:tcW w:type="dxa" w:w="352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Clean re-evaluation: pooled HRM +0.010 success vs Manhattan; A32 expert -0.010 vs pooled base; 7 wins / 10 ties / 27 losses.</w:t>
            </w:r>
          </w:p>
        </w:tc>
        <w:tc>
          <w:tcPr>
            <w:tcW w:type="dxa" w:w="404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Interrupted/superseded specialist result; bounded task corrections do not add useful ordering.</w:t>
            </w:r>
          </w:p>
        </w:tc>
      </w:tr>
      <w:tr>
        <w:tc>
          <w:tcPr>
            <w:tcW w:type="dxa" w:w="18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Learned focal search</w:t>
            </w:r>
          </w:p>
        </w:tc>
        <w:tc>
          <w:tcPr>
            <w:tcW w:type="dxa" w:w="352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 w=1.0, HRM and ON-LSTM reduce expansions 6-15% with no observed success regression in tested static/dynamic cells. Rank correlation is about 0.987-0.994.</w:t>
            </w:r>
          </w:p>
        </w:tc>
        <w:tc>
          <w:tcPr>
            <w:tcW w:type="dxa" w:w="404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FF8E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Local pilot positive: integration rescues the same weights; not HRM-specific and not yet a full-suite result.</w:t>
            </w:r>
          </w:p>
        </w:tc>
      </w:tr>
      <w:tr>
        <w:tc>
          <w:tcPr>
            <w:tcW w:type="dxa" w:w="18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Evaluation acceleration</w:t>
            </w:r>
          </w:p>
        </w:tc>
        <w:tc>
          <w:tcPr>
            <w:tcW w:type="dxa" w:w="352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Disabling exact-cost diagnostics after environment-forwarding fixes improves a representative shard from about 100 s/episode to 2.6 s/episode, about 39x.</w:t>
            </w:r>
          </w:p>
        </w:tc>
        <w:tc>
          <w:tcPr>
            <w:tcW w:type="dxa" w:w="404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Engineering result only; preserves headline outcomes while dropping diagnostics.</w:t>
            </w:r>
          </w:p>
        </w:tc>
      </w:tr>
    </w:tbl>
    <w:p>
      <w:pPr>
        <w:pStyle w:val="TableSource"/>
      </w:pPr>
      <w:r>
        <w:t>Primary sources: EXPERIMENT_RESULTS_COMPENDIUM.md; FOCAL_SEARCH_RESULTS.md; EXPERIMENT_RESULTS_FOCAL_REDESIGN.md; FAST_EVAL.md.</w:t>
      </w:r>
    </w:p>
    <w:p>
      <w:pPr>
        <w:pStyle w:val="Heading2"/>
        <w:keepNext/>
        <w:pageBreakBefore w:val="0"/>
      </w:pPr>
      <w:r>
        <w:t>2.3 HRM-v2 direct solver and fidelity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F0F0"/>
            <w:tcBorders>
              <w:top w:val="single" w:sz="4" w:color="FDF0F0"/>
              <w:bottom w:val="single" w:sz="4" w:color="FDF0F0"/>
              <w:start w:val="single" w:sz="18" w:color="9B1C1C"/>
              <w:end w:val="single" w:sz="4" w:color="FDF0F0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Validity conclusion. 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The original direct-solver training result cannot be used as faithful HRM-v2 evidence. The forward port is now bit-exact and the missing mechanisms are repaired, but paper-scale convergence has not been demonstrated.</w:t>
            </w:r>
          </w:p>
        </w:tc>
      </w:tr>
    </w:tbl>
    <w:p>
      <w:pPr>
        <w:spacing w:after="40"/>
      </w:pP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Pre-fix run: 96.64% token accuracy, 25.40% exact accuracy, 74.60% q-halt accuracy, and 16.0 ACT steps. The later audit shows q-halt accuracy was exactly 100 - exact accuracy because the halt head was frozen negative.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Fidelity audit: identified missing q-halt loss, broken per-segment deep supervision, attention-layout risk, sparse-embedding fragility, and training-recipe drift. The repaired port now has bit-exact forward parity and live ACT/deep-supervision paths.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Post-fix partial run: stopped near 150k / 375k steps after about 12 hours. q-halt loss fell from 0.14 to 0.06; eval token accuracy reached 90-95%; exact accuracy remained 0.000.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Historical review notes remain useful for chronology, but claims of production readiness, full fidelity, and 95-100% expected accuracy are superseded by the audit.</w:t>
      </w:r>
    </w:p>
    <w:p>
      <w:pPr>
        <w:pStyle w:val="TableSource"/>
      </w:pPr>
      <w:r>
        <w:t>Primary sources: TRAINING_RESULTS.md; PORT_FIDELITY_AUDIT.md; RETRAIN_RESULTS.md; HRM-v2 historical review documents.</w:t>
      </w:r>
    </w:p>
    <w:p>
      <w:pPr>
        <w:pStyle w:val="Heading1"/>
        <w:keepNext/>
      </w:pPr>
      <w:r>
        <w:t>3. Continuous-space PRM experimental history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continuous program progresses from saturated pilots, through calibrated static and dynamic search, to adaptation, composition, and hierarchy-specific tests. Each stage is retained because later results often explain an earlier failure rather than simply replacing it.</w:t>
      </w:r>
    </w:p>
    <w:p>
      <w:pPr>
        <w:pStyle w:val="Heading2"/>
        <w:keepNext/>
      </w:pPr>
      <w:r>
        <w:t>3.1 C1-C6: calibration, pooled priors, and representation recovery</w:t>
      </w:r>
    </w:p>
    <w:p>
      <w:pPr>
        <w:pStyle w:val="TableCaption"/>
      </w:pPr>
      <w:r>
        <w:t>Continuous PRM chronology, C1-C6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rPr>
          <w:trHeight w:hRule="atLeast"/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Headline evidence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 and learning</w:t>
            </w:r>
          </w:p>
        </w:tc>
      </w:tr>
      <w:tr>
        <w:tc>
          <w:tcPr>
            <w:tcW w:type="dxa" w:w="1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C1 - Euclidean sanity</w:t>
            </w:r>
          </w:p>
        </w:tc>
        <w:tc>
          <w:tcPr>
            <w:tcW w:type="dxa" w:w="3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 B100, Euclid success is 0.925-1.000 over nine suites with 17.35-42.95 mean expansions; B200 saturates all suites.</w:t>
            </w:r>
          </w:p>
        </w:tc>
        <w:tc>
          <w:tcPr>
            <w:tcW w:type="dxa" w:w="41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FF8E8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Pilot: original benchmark is too easy to discriminate learned methods.</w:t>
            </w:r>
          </w:p>
        </w:tc>
      </w:tr>
      <w:tr>
        <w:tc>
          <w:tcPr>
            <w:tcW w:type="dxa" w:w="1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C2 - pooled bases</w:t>
            </w:r>
          </w:p>
        </w:tc>
        <w:tc>
          <w:tcPr>
            <w:tcW w:type="dxa" w:w="3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 B100: Euclid 0.9667 / 31.20; HRM 0.9528 / 27.05; ON-LSTM 0.9778 / 22.92.</w:t>
            </w:r>
          </w:p>
        </w:tc>
        <w:tc>
          <w:tcPr>
            <w:tcW w:type="dxa" w:w="4160"/>
            <w:shd w:fill="FFF8E8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Pilot: ON-LSTM is strongest, but success saturation masks differences.</w:t>
            </w:r>
          </w:p>
        </w:tc>
      </w:tr>
      <w:tr>
        <w:tc>
          <w:tcPr>
            <w:tcW w:type="dxa" w:w="1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C3 - TaskLoRA experts</w:t>
            </w:r>
          </w:p>
        </w:tc>
        <w:tc>
          <w:tcPr>
            <w:tcW w:type="dxa" w:w="3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On four ID anchors at success 1.0, experts improve mean expansions only 1.14% over HRM base and 3.03% over ON-LSTM base.</w:t>
            </w:r>
          </w:p>
        </w:tc>
        <w:tc>
          <w:tcPr>
            <w:tcW w:type="dxa" w:w="41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Weak provenance; specialist routing adds little beyond pooled bases.</w:t>
            </w:r>
          </w:p>
        </w:tc>
      </w:tr>
      <w:tr>
        <w:tc>
          <w:tcPr>
            <w:tcW w:type="dxa" w:w="1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C4 - nearest/RBF mixtures</w:t>
            </w:r>
          </w:p>
        </w:tc>
        <w:tc>
          <w:tcPr>
            <w:tcW w:type="dxa" w:w="3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 B100, HRM avgbase/RBF expansions 26.01/25.95; ON-LSTM 23.79/23.44. Nearest and RBF are nearly identical.</w:t>
            </w:r>
          </w:p>
        </w:tc>
        <w:tc>
          <w:tcPr>
            <w:tcW w:type="dxa" w:w="4160"/>
            <w:shd w:fill="FFF8E8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Pilot: adapter routing adds negligible value on saturated tasks.</w:t>
            </w:r>
          </w:p>
        </w:tc>
      </w:tr>
      <w:tr>
        <w:tc>
          <w:tcPr>
            <w:tcW w:type="dxa" w:w="1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C5 - calibrated hard maps</w:t>
            </w:r>
          </w:p>
        </w:tc>
        <w:tc>
          <w:tcPr>
            <w:tcW w:type="dxa" w:w="3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 B144, hard-maze Euclid 0.525 vs ON-LSTM 1.000; dense 0.595 vs 0.962. HRM collapses to a constant residual cap and matches Euclid.</w:t>
            </w:r>
          </w:p>
        </w:tc>
        <w:tc>
          <w:tcPr>
            <w:tcW w:type="dxa" w:w="41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Canonical local: creates real headroom and localizes HRM failure to representation/optimization.</w:t>
            </w:r>
          </w:p>
        </w:tc>
      </w:tr>
      <w:tr>
        <w:tc>
          <w:tcPr>
            <w:tcW w:type="dxa" w:w="1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C6 - goal-conditioned value field</w:t>
            </w:r>
          </w:p>
        </w:tc>
        <w:tc>
          <w:tcPr>
            <w:tcW w:type="dxa" w:w="3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Hard-maze B144: Euclid 0.625; HRM 0.975; U-Net 0.950; ON-LSTM 0.900. HRM uses 42.375 fewer mean expansions than Euclid.</w:t>
            </w:r>
          </w:p>
        </w:tc>
        <w:tc>
          <w:tcPr>
            <w:tcW w:type="dxa" w:w="41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Canonical local recovery: field training rescues HRM in this setup; one seed, n=40.</w:t>
            </w:r>
          </w:p>
        </w:tc>
      </w:tr>
    </w:tbl>
    <w:p>
      <w:pPr>
        <w:pStyle w:val="TableSource"/>
      </w:pPr>
      <w:r>
        <w:t>Primary sources: continuous PRM C1-C4 ladder; C5 hard-map report; C6_RESULTS.md and generated C6 significance reports.</w:t>
      </w:r>
    </w:p>
    <w:p>
      <w:pPr>
        <w:pStyle w:val="Heading2"/>
        <w:keepNext/>
      </w:pPr>
      <w:r>
        <w:t>3.2 C7-C10: integration, dynamics, transfer, and composition</w:t>
      </w:r>
    </w:p>
    <w:p>
      <w:pPr>
        <w:pStyle w:val="TableCaption"/>
      </w:pPr>
      <w:r>
        <w:t>Continuous PRM chronology, C7-C10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Headline evidence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 and learning</w:t>
            </w:r>
          </w:p>
        </w:tc>
      </w:tr>
      <w:tr>
        <w:tc>
          <w:tcPr>
            <w:tcW w:type="dxa" w:w="1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C7 - static integration</w:t>
            </w:r>
          </w:p>
        </w:tc>
        <w:tc>
          <w:tcPr>
            <w:tcW w:type="dxa" w:w="3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Field-HRM reduces matched expansions about 15-48%; scalar HRM ratios are 0.427-0.822 and often equal or better. Additive suboptimality is about 1.02-1.14.</w:t>
            </w:r>
          </w:p>
        </w:tc>
        <w:tc>
          <w:tcPr>
            <w:tcW w:type="dxa" w:w="40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Canonical local: additive magnitude beats focal against loose Euclid; no hierarchy advantage.</w:t>
            </w:r>
          </w:p>
        </w:tc>
      </w:tr>
      <w:tr>
        <w:tc>
          <w:tcPr>
            <w:tcW w:type="dxa" w:w="1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C8 - dynamic space-time</w:t>
            </w:r>
          </w:p>
        </w:tc>
        <w:tc>
          <w:tcPr>
            <w:tcW w:type="dxa" w:w="3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Selected learned arms reduce matched expansions about 65-95% and improve success 0.2-0.7. Seven uncorrected cells favor blind input; one favors aware.</w:t>
            </w:r>
          </w:p>
        </w:tc>
        <w:tc>
          <w:tcPr>
            <w:tcW w:type="dxa" w:w="40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Canonical local: learned guidance works; no systematic future-window or recurrent advantage.</w:t>
            </w:r>
          </w:p>
        </w:tc>
      </w:tr>
      <w:tr>
        <w:tc>
          <w:tcPr>
            <w:tcW w:type="dxa" w:w="1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C9 - static few-shot transfer</w:t>
            </w:r>
          </w:p>
        </w:tc>
        <w:tc>
          <w:tcPr>
            <w:tcW w:type="dxa" w:w="3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LoRA preserves strong bases at K=1; scratch often fails at low K; full-FT reaches best ratios by K=8-16. 540 models, 99,360 records.</w:t>
            </w:r>
          </w:p>
        </w:tc>
        <w:tc>
          <w:tcPr>
            <w:tcW w:type="dxa" w:w="40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Canonical local: robust low-rank versus high-capacity full-rank crossover; clustered reanalysis required.</w:t>
            </w:r>
          </w:p>
        </w:tc>
      </w:tr>
      <w:tr>
        <w:tc>
          <w:tcPr>
            <w:tcW w:type="dxa" w:w="1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C9h - matched-compute hardening</w:t>
            </w:r>
          </w:p>
        </w:tc>
        <w:tc>
          <w:tcPr>
            <w:tcW w:type="dxa" w:w="3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Bounded-minus-unbounded LoRA median ratio delta 0.000 +/- 0.008. Rooms-large U-Net full-FT reaches 0.404 ratio at 0.97 success.</w:t>
            </w:r>
          </w:p>
        </w:tc>
        <w:tc>
          <w:tcPr>
            <w:tcW w:type="dxa" w:w="4060"/>
            <w:shd w:fill="FFF8E8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Strong descriptive mechanism: low-rank capacity, not the clamp, explains the plateau.</w:t>
            </w:r>
          </w:p>
        </w:tc>
      </w:tr>
      <w:tr>
        <w:tc>
          <w:tcPr>
            <w:tcW w:type="dxa" w:w="1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C9b - transfer under dynamics</w:t>
            </w:r>
          </w:p>
        </w:tc>
        <w:tc>
          <w:tcPr>
            <w:tcW w:type="dxa" w:w="3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 full-FT K16, future-aware wins 0/9 cells. One dynamic world supplies about 25k+ labels; LoRA and full-FT both improve with K.</w:t>
            </w:r>
          </w:p>
        </w:tc>
        <w:tc>
          <w:tcPr>
            <w:tcW w:type="dxa" w:w="40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Canonical local: transfer works, but static few-shot scarcity is out of regime.</w:t>
            </w:r>
          </w:p>
        </w:tc>
      </w:tr>
      <w:tr>
        <w:tc>
          <w:tcPr>
            <w:tcW w:type="dxa" w:w="17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C10 - zero-label adapter interpolation</w:t>
            </w:r>
          </w:p>
        </w:tc>
        <w:tc>
          <w:tcPr>
            <w:tcW w:type="dxa" w:w="36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RBF own-axis mass is 0.986-0.998, but RBF, nearest, uniform, prediction mix, and zero-shot remain close; deltas are mixed.</w:t>
            </w:r>
          </w:p>
        </w:tc>
        <w:tc>
          <w:tcPr>
            <w:tcW w:type="dxa" w:w="40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Clean null: correct routing cannot exceed the ceiling of weak/flat adapters and a strong pooled base.</w:t>
            </w:r>
          </w:p>
        </w:tc>
      </w:tr>
      <w:tr>
        <w:tc>
          <w:tcPr>
            <w:tcW w:type="dxa" w:w="17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HRM attention head-to-head</w:t>
            </w:r>
          </w:p>
        </w:tc>
        <w:tc>
          <w:tcPr>
            <w:tcW w:type="dxa" w:w="3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Incumbent HRM beats repaired attention on rooms-large (0.7714 at 0.967 success vs 0.8611 at 0.867). Better training loss does not yield robust search gains.</w:t>
            </w:r>
          </w:p>
        </w:tc>
        <w:tc>
          <w:tcPr>
            <w:tcW w:type="dxa" w:w="40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Local negative ablation: supports a formulation/overfit diagnosis, not a general anti-attention claim.</w:t>
            </w:r>
          </w:p>
        </w:tc>
      </w:tr>
    </w:tbl>
    <w:p>
      <w:pPr>
        <w:pStyle w:val="TableSource"/>
      </w:pPr>
      <w:r>
        <w:t>Primary sources: C7_RESULTS.md; C8_RESULTS.md; C9_RESULTS.md; C9H_RESULTS.md; C9B_RESULTS.md; C10_RESULTS.md; HRM_HEADTOHEAD.md.</w:t>
      </w:r>
    </w:p>
    <w:p>
      <w:pPr>
        <w:pStyle w:val="Heading2"/>
        <w:keepNext/>
      </w:pPr>
      <w:r>
        <w:t>3.3 C11: compositional missions and hierarchy dose response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C11 was designed to give hierarchy a fairer test by exposing mission structure, non-local inputs, explicit flat/global controls, HRM-v2 ACT, and measurable oracle headroom.</w:t>
      </w:r>
    </w:p>
    <w:p>
      <w:pPr>
        <w:pStyle w:val="TableCaption"/>
      </w:pPr>
      <w:r>
        <w:t>C11 preregistered gates and final outcomes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rHeight w:hRule="atLeast"/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Outcome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Evidence-safe reading</w:t>
            </w:r>
          </w:p>
        </w:tc>
      </w:tr>
      <w:tr>
        <w:tc>
          <w:tcPr>
            <w:tcW w:type="dxa" w:w="18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G0-H oracle headroom</w:t>
            </w:r>
          </w:p>
        </w:tc>
        <w:tc>
          <w:tcPr>
            <w:tcW w:type="dxa" w:w="1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EEF7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PASS</w:t>
            </w:r>
          </w:p>
        </w:tc>
        <w:tc>
          <w:tcPr>
            <w:tcW w:type="dxa" w:w="59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Exact oracle / leg-sum ratios are 0.082-0.225 across three configurations and K={2,4,8}. The task has ample compositional headroom.</w:t>
            </w:r>
          </w:p>
        </w:tc>
      </w:tr>
      <w:tr>
        <w:tc>
          <w:tcPr>
            <w:tcW w:type="dxa" w:w="18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K=0 continuity</w:t>
            </w:r>
          </w:p>
        </w:tc>
        <w:tc>
          <w:tcPr>
            <w:tcW w:type="dxa" w:w="160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FAIL, diagnosed</w:t>
            </w:r>
          </w:p>
        </w:tc>
        <w:tc>
          <w:tcPr>
            <w:tcW w:type="dxa" w:w="59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The measurement layer is valid; C11 changes inputs and adds MLP/global controls, so the all-architecture tie premise was wrong.</w:t>
            </w:r>
          </w:p>
        </w:tc>
      </w:tr>
      <w:tr>
        <w:tc>
          <w:tcPr>
            <w:tcW w:type="dxa" w:w="18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G1 structure dose response</w:t>
            </w:r>
          </w:p>
        </w:tc>
        <w:tc>
          <w:tcPr>
            <w:tcW w:type="dxa" w:w="1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NEGATIVE</w:t>
            </w:r>
          </w:p>
        </w:tc>
        <w:tc>
          <w:tcPr>
            <w:tcW w:type="dxa" w:w="59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 structured arm beats MLP at two mission depths with a non-decreasing gap.</w:t>
            </w:r>
          </w:p>
        </w:tc>
      </w:tr>
      <w:tr>
        <w:tc>
          <w:tcPr>
            <w:tcW w:type="dxa" w:w="18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G2a forced compute</w:t>
            </w:r>
          </w:p>
        </w:tc>
        <w:tc>
          <w:tcPr>
            <w:tcW w:type="dxa" w:w="160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NEGATIVE</w:t>
            </w:r>
          </w:p>
        </w:tc>
        <w:tc>
          <w:tcPr>
            <w:tcW w:type="dxa" w:w="59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HRM-v2 k=1/2/4/8 expansion and MAE curves are nearly flat at K=8.</w:t>
            </w:r>
          </w:p>
        </w:tc>
      </w:tr>
      <w:tr>
        <w:tc>
          <w:tcPr>
            <w:tcW w:type="dxa" w:w="18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G2b learned halting</w:t>
            </w:r>
          </w:p>
        </w:tc>
        <w:tc>
          <w:tcPr>
            <w:tcW w:type="dxa" w:w="16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NEGATIVE, inverted</w:t>
            </w:r>
          </w:p>
        </w:tc>
        <w:tc>
          <w:tcPr>
            <w:tcW w:type="dxa" w:w="596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Pooled rho=-0.407, p about 0.0005, n=675; would-halt steps decrease rather than increase at K=8.</w:t>
            </w:r>
          </w:p>
        </w:tc>
      </w:tr>
      <w:tr>
        <w:tc>
          <w:tcPr>
            <w:tcW w:type="dxa" w:w="18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Scaled addendum</w:t>
            </w:r>
          </w:p>
        </w:tc>
        <w:tc>
          <w:tcPr>
            <w:tcW w:type="dxa" w:w="160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NEGATIVE</w:t>
            </w:r>
          </w:p>
        </w:tc>
        <w:tc>
          <w:tcPr>
            <w:tcW w:type="dxa" w:w="596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U-Net completion exceeds HRM at K=2 (0.804 vs 0.736) and K=8 (0.413 vs 0.307). HRM K=8 matches the leg-sum baseline.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completed main grid contains 198 checkpoints and 54,450 evaluation rows. Global-input U-Net and GNN arms show genuine shallow-K advantages, but those advantages disappear as mission depth increases. Several recurrent cells collapse, so their worst deep-K deficits are optimization-pathology evidence rather than clean expressiveness estimates.</w:t>
      </w:r>
    </w:p>
    <w:p>
      <w:pPr>
        <w:pStyle w:val="TableSource"/>
      </w:pPr>
      <w:r>
        <w:t>Primary sources: C11_HEADROOM.md; C11_RESULTS.md; C11 manifest, evaluation, state-MAE, and halt-step artifacts.</w:t>
      </w:r>
    </w:p>
    <w:p>
      <w:pPr>
        <w:pStyle w:val="Heading2"/>
        <w:keepNext/>
        <w:pageBreakBefore w:val="0"/>
      </w:pPr>
      <w:r>
        <w:t>3.4 C12: persistent dynamics after confirmed memory headroom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C12-A deliberately constructs identical present observations that imply different future hazards and first actions, removing the main ambiguity in C8. The non-learned G0 probe passes every authorization gate before learned-model evaluation.</w:t>
      </w:r>
    </w:p>
    <w:p>
      <w:pPr>
        <w:pStyle w:val="TableCaption"/>
      </w:pPr>
      <w:r>
        <w:t>C12-A substrate authorization and completed pilot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50"/>
        <w:gridCol w:w="4810"/>
      </w:tblGrid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Component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Interpretation</w:t>
            </w:r>
          </w:p>
        </w:tc>
      </w:tr>
      <w:tr>
        <w:tc>
          <w:tcPr>
            <w:tcW w:type="dxa" w:w="22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Constructed alias rate</w:t>
            </w:r>
          </w:p>
        </w:tc>
        <w:tc>
          <w:tcPr>
            <w:tcW w:type="dxa" w:w="23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71.3%</w:t>
            </w:r>
          </w:p>
        </w:tc>
        <w:tc>
          <w:tcPr>
            <w:tcW w:type="dxa" w:w="48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Decision-relevant present-state aliases are common.</w:t>
            </w:r>
          </w:p>
        </w:tc>
      </w:tr>
      <w:tr>
        <w:tc>
          <w:tcPr>
            <w:tcW w:type="dxa" w:w="22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History completion gain</w:t>
            </w:r>
          </w:p>
        </w:tc>
        <w:tc>
          <w:tcPr>
            <w:tcW w:type="dxa" w:w="23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+0.467</w:t>
            </w:r>
          </w:p>
        </w:tc>
        <w:tc>
          <w:tcPr>
            <w:tcW w:type="dxa" w:w="48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Privileged mode/history information materially improves completion over frozen present state.</w:t>
            </w:r>
          </w:p>
        </w:tc>
      </w:tr>
      <w:tr>
        <w:tc>
          <w:tcPr>
            <w:tcW w:type="dxa" w:w="22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Regret reduction</w:t>
            </w:r>
          </w:p>
        </w:tc>
        <w:tc>
          <w:tcPr>
            <w:tcW w:type="dxa" w:w="23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65.1% (95% CI 63.0-66.9%)</w:t>
            </w:r>
          </w:p>
        </w:tc>
        <w:tc>
          <w:tcPr>
            <w:tcW w:type="dxa" w:w="48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World-clustered evidence confirms useful memory headroom.</w:t>
            </w:r>
          </w:p>
        </w:tc>
      </w:tr>
      <w:tr>
        <w:tc>
          <w:tcPr>
            <w:tcW w:type="dxa" w:w="22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Oracle ceiling</w:t>
            </w:r>
          </w:p>
        </w:tc>
        <w:tc>
          <w:tcPr>
            <w:tcW w:type="dxa" w:w="23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97.5% completion; 75.1% ceiling gap</w:t>
            </w:r>
          </w:p>
        </w:tc>
        <w:tc>
          <w:tcPr>
            <w:tcW w:type="dxa" w:w="48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The environment leaves substantial information and work headroom.</w:t>
            </w:r>
          </w:p>
        </w:tc>
      </w:tr>
      <w:tr>
        <w:tc>
          <w:tcPr>
            <w:tcW w:type="dxa" w:w="22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Present-sufficient control</w:t>
            </w:r>
          </w:p>
        </w:tc>
        <w:tc>
          <w:tcPr>
            <w:tcW w:type="dxa" w:w="23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0.000 history headroom</w:t>
            </w:r>
          </w:p>
        </w:tc>
        <w:tc>
          <w:tcPr>
            <w:tcW w:type="dxa" w:w="48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The control behaves correctly when current state is sufficient.</w:t>
            </w:r>
          </w:p>
        </w:tc>
      </w:tr>
      <w:tr>
        <w:tc>
          <w:tcPr>
            <w:tcW w:type="dxa" w:w="22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Completed pilot scale</w:t>
            </w:r>
          </w:p>
        </w:tc>
        <w:tc>
          <w:tcPr>
            <w:tcW w:type="dxa" w:w="23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1,118,208 forecast rows; 4,352 planning rows; five trained arms</w:t>
            </w:r>
          </w:p>
        </w:tc>
        <w:tc>
          <w:tcPr>
            <w:tcW w:type="dxa" w:w="48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Pipeline completes cleanly without collapse; result remains development-only.</w:t>
            </w:r>
          </w:p>
        </w:tc>
      </w:tr>
      <w:tr>
        <w:tc>
          <w:tcPr>
            <w:tcW w:type="dxa" w:w="22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G1-A forecast</w:t>
            </w:r>
          </w:p>
        </w:tc>
        <w:tc>
          <w:tcPr>
            <w:tcW w:type="dxa" w:w="23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FAIL</w:t>
            </w:r>
          </w:p>
        </w:tc>
        <w:tc>
          <w:tcPr>
            <w:tcW w:type="dxa" w:w="48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Selected hierarchy: ON-LSTM. Selected flat comparator: LSTM. No preregistered forecast advantage.</w:t>
            </w:r>
          </w:p>
        </w:tc>
      </w:tr>
      <w:tr>
        <w:tc>
          <w:tcPr>
            <w:tcW w:type="dxa" w:w="22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G2-A planning</w:t>
            </w:r>
          </w:p>
        </w:tc>
        <w:tc>
          <w:tcPr>
            <w:tcW w:type="dxa" w:w="235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FAIL</w:t>
            </w:r>
          </w:p>
        </w:tc>
        <w:tc>
          <w:tcPr>
            <w:tcW w:type="dxa" w:w="48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 world-clustered planning advantage for the hierarchy.</w:t>
            </w:r>
          </w:p>
        </w:tc>
      </w:tr>
      <w:tr>
        <w:tc>
          <w:tcPr>
            <w:tcW w:type="dxa" w:w="22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G3-A carry</w:t>
            </w:r>
          </w:p>
        </w:tc>
        <w:tc>
          <w:tcPr>
            <w:tcW w:type="dxa" w:w="23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FDF0F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FAIL</w:t>
            </w:r>
          </w:p>
        </w:tc>
        <w:tc>
          <w:tcPr>
            <w:tcW w:type="dxa" w:w="48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Persistent carry adds no useful planning value.</w:t>
            </w:r>
          </w:p>
        </w:tc>
      </w:tr>
      <w:tr>
        <w:tc>
          <w:tcPr>
            <w:tcW w:type="dxa" w:w="220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G4-A closure</w:t>
            </w:r>
          </w:p>
        </w:tc>
        <w:tc>
          <w:tcPr>
            <w:tcW w:type="dxa" w:w="2350"/>
            <w:shd w:fill="FDF0F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STRONG NEGATIVE</w:t>
            </w:r>
          </w:p>
        </w:tc>
        <w:tc>
          <w:tcPr>
            <w:tcW w:type="dxa" w:w="48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Matched temporal hierarchy adds no value even though history is necessary.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top w:val="single" w:sz="4" w:color="FFF8E8"/>
              <w:bottom w:val="single" w:sz="4" w:color="FFF8E8"/>
              <w:start w:val="single" w:sz="18" w:color="7A5A00"/>
              <w:end w:val="single" w:sz="4" w:color="FFF8E8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Current C12 status. 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C12-A is a completed development pilot, not final TEST evidence. C12-B - tied full-product-graph iterative refinement with deep supervision - remains the separately gated, untested mechanism.</w:t>
            </w:r>
          </w:p>
        </w:tc>
      </w:tr>
    </w:tbl>
    <w:p>
      <w:pPr>
        <w:spacing w:after="40"/>
      </w:pPr>
    </w:p>
    <w:p>
      <w:pPr>
        <w:pStyle w:val="TableSource"/>
      </w:pPr>
      <w:r>
        <w:t>Primary sources: C12 design and plan; completed pilot pipeline_manifest.json; final C12A_ANALYSIS.md; c12a_summary.json.</w:t>
      </w:r>
    </w:p>
    <w:p>
      <w:pPr>
        <w:pStyle w:val="Heading1"/>
        <w:keepNext/>
      </w:pPr>
      <w:r>
        <w:t>4. Cross-space synthesis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Across discrete and continuous planning, the experiment history supports four durable principles.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Representation can create or erase an apparent architecture result. C5 scalar HRM collapses; C6 field training restores useful predictions; C7 then shows a well-trained scalar model can also work.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Planner integration must match what the model learned. The discrete model is an excellent ranker but a scale-miscalibrated magnitude; focal tie-breaking reveals its value where additive correction fails.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Pooled priors are more reliable than narrow specialist adapters. Multitask pooled HRM is the strongest discrete additive result; TaskLoRA experts, CondLoRA, and interpolation add little or regress.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Hierarchy-specific benefits remain unsupported under the tested formulations. C11 adds composition and global structure; C12 adds persistent hidden-regime memory. Neither produces the preregistered hierarchy advantage.</w:t>
      </w:r>
    </w:p>
    <w:p>
      <w:pPr>
        <w:pStyle w:val="Heading1"/>
        <w:keepNext/>
      </w:pPr>
      <w:r>
        <w:t>5. Claim readiness for a paper</w:t>
      </w:r>
    </w:p>
    <w:p>
      <w:pPr>
        <w:pStyle w:val="TableCaption"/>
      </w:pPr>
      <w:r>
        <w:t>Current claim-readiness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1900"/>
        <w:gridCol w:w="4010"/>
      </w:tblGrid>
      <w:tr>
        <w:trPr>
          <w:trHeight w:hRule="atLeast"/>
          <w:cantSplit/>
          <w:tblHeader w:val="true"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Candidate claim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D0D5DD"/>
              <w:bottom w:val="single" w:sz="8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qualification or action</w:t>
            </w:r>
          </w:p>
        </w:tc>
      </w:tr>
      <w:tr>
        <w:tc>
          <w:tcPr>
            <w:tcW w:type="dxa" w:w="34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Learned heuristics reduce static continuous-PRM search effort</w:t>
            </w:r>
          </w:p>
        </w:tc>
        <w:tc>
          <w:tcPr>
            <w:tcW w:type="dxa" w:w="19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EEF7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Ready with local caveat</w:t>
            </w:r>
          </w:p>
        </w:tc>
        <w:tc>
          <w:tcPr>
            <w:tcW w:type="dxa" w:w="40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One main training seed, 24 worlds/suite, small matched sets; lead with bootstrap intervals.</w:t>
            </w:r>
          </w:p>
        </w:tc>
      </w:tr>
      <w:tr>
        <w:tc>
          <w:tcPr>
            <w:tcW w:type="dxa" w:w="34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Learned heuristics reduce dynamic space-time search effort</w:t>
            </w:r>
          </w:p>
        </w:tc>
        <w:tc>
          <w:tcPr>
            <w:tcW w:type="dxa" w:w="1900"/>
            <w:shd w:fill="EEF7F2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Ready with local caveat</w:t>
            </w:r>
          </w:p>
        </w:tc>
        <w:tc>
          <w:tcPr>
            <w:tcW w:type="dxa" w:w="40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Separate success from solved-only expansion evidence; dense matched set is especially small.</w:t>
            </w:r>
          </w:p>
        </w:tc>
      </w:tr>
      <w:tr>
        <w:tc>
          <w:tcPr>
            <w:tcW w:type="dxa" w:w="34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A pooled prior improves low-label adaptation</w:t>
            </w:r>
          </w:p>
        </w:tc>
        <w:tc>
          <w:tcPr>
            <w:tcW w:type="dxa" w:w="19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EEF7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Ready after reanalysis</w:t>
            </w:r>
          </w:p>
        </w:tc>
        <w:tc>
          <w:tcPr>
            <w:tcW w:type="dxa" w:w="40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Cluster at TEST-world level and add direct method-versus-method contrasts.</w:t>
            </w:r>
          </w:p>
        </w:tc>
      </w:tr>
      <w:tr>
        <w:tc>
          <w:tcPr>
            <w:tcW w:type="dxa" w:w="34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Low-rank capacity causes the LoRA plateau</w:t>
            </w:r>
          </w:p>
        </w:tc>
        <w:tc>
          <w:tcPr>
            <w:tcW w:type="dxa" w:w="1900"/>
            <w:shd w:fill="FFF8E8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Strong descriptive</w:t>
            </w:r>
          </w:p>
        </w:tc>
        <w:tc>
          <w:tcPr>
            <w:tcW w:type="dxa" w:w="40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Bounded/unbounded identity is descriptive; no equivalence test.</w:t>
            </w:r>
          </w:p>
        </w:tc>
      </w:tr>
      <w:tr>
        <w:tc>
          <w:tcPr>
            <w:tcW w:type="dxa" w:w="34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Future-window inputs improve guidance</w:t>
            </w:r>
          </w:p>
        </w:tc>
        <w:tc>
          <w:tcPr>
            <w:tcW w:type="dxa" w:w="19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EEF7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Not supported</w:t>
            </w:r>
          </w:p>
        </w:tc>
        <w:tc>
          <w:tcPr>
            <w:tcW w:type="dxa" w:w="40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Phrase as no consistent benefit observed, not equivalence.</w:t>
            </w:r>
          </w:p>
        </w:tc>
      </w:tr>
      <w:tr>
        <w:tc>
          <w:tcPr>
            <w:tcW w:type="dxa" w:w="34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Descriptor-weighted interpolation improves zero-label transfer</w:t>
            </w:r>
          </w:p>
        </w:tc>
        <w:tc>
          <w:tcPr>
            <w:tcW w:type="dxa" w:w="1900"/>
            <w:shd w:fill="EEF7F2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Not supported</w:t>
            </w:r>
          </w:p>
        </w:tc>
        <w:tc>
          <w:tcPr>
            <w:tcW w:type="dxa" w:w="40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Only two axes, strong pooled base, and no equivalence test.</w:t>
            </w:r>
          </w:p>
        </w:tc>
      </w:tr>
      <w:tr>
        <w:tc>
          <w:tcPr>
            <w:tcW w:type="dxa" w:w="34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Hierarchical models are superior planning heuristics</w:t>
            </w:r>
          </w:p>
        </w:tc>
        <w:tc>
          <w:tcPr>
            <w:tcW w:type="dxa" w:w="19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EEF7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Not supported</w:t>
            </w:r>
          </w:p>
        </w:tc>
        <w:tc>
          <w:tcPr>
            <w:tcW w:type="dxa" w:w="40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C11 and C12 close negative; do not generalize beyond tested inputs/objectives/integration.</w:t>
            </w:r>
          </w:p>
        </w:tc>
      </w:tr>
      <w:tr>
        <w:tc>
          <w:tcPr>
            <w:tcW w:type="dxa" w:w="34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Compositional missions contain hierarchy-relevant oracle headroom</w:t>
            </w:r>
          </w:p>
        </w:tc>
        <w:tc>
          <w:tcPr>
            <w:tcW w:type="dxa" w:w="1900"/>
            <w:shd w:fill="EEF7F2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Supported upper bound</w:t>
            </w:r>
          </w:p>
        </w:tc>
        <w:tc>
          <w:tcPr>
            <w:tcW w:type="dxa" w:w="40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Oracle headroom is real, but learned arms do not convert it into a depth advantage.</w:t>
            </w:r>
          </w:p>
        </w:tc>
      </w:tr>
      <w:tr>
        <w:tc>
          <w:tcPr>
            <w:tcW w:type="dxa" w:w="345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Hidden dynamics contain memory-relevant headroom</w:t>
            </w:r>
          </w:p>
        </w:tc>
        <w:tc>
          <w:tcPr>
            <w:tcW w:type="dxa" w:w="190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  <w:shd w:fill="EEF7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Supported substrate claim</w:t>
            </w:r>
          </w:p>
        </w:tc>
        <w:tc>
          <w:tcPr>
            <w:tcW w:type="dxa" w:w="4010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The privileged diagnostic establishes headroom; the learned hierarchy result is strong-negative and development-only.</w:t>
            </w:r>
          </w:p>
        </w:tc>
      </w:tr>
      <w:tr>
        <w:tc>
          <w:tcPr>
            <w:tcW w:type="dxa" w:w="345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The HRM-v2 port reproduces Maze-Hard</w:t>
            </w:r>
          </w:p>
        </w:tc>
        <w:tc>
          <w:tcPr>
            <w:tcW w:type="dxa" w:w="1900"/>
            <w:shd w:fill="EEF7F2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246B45"/>
                <w:sz w:val="18"/>
              </w:rPr>
              <w:t>Not yet supported</w:t>
            </w:r>
          </w:p>
        </w:tc>
        <w:tc>
          <w:tcPr>
            <w:tcW w:type="dxa" w:w="4010"/>
            <w:shd w:fill="FAFBFC"/>
            <w:tcBorders>
              <w:top w:val="single" w:sz="4" w:color="D0D5DD"/>
              <w:bottom w:val="single" w:sz="4" w:color="D0D5DD"/>
              <w:start w:val="single" w:sz="4" w:color="D0D5DD"/>
              <w:end w:val="single" w:sz="4" w:color="D0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Mechanisms and forward parity are repaired; paper-scale convergence is unfinished.</w:t>
            </w:r>
          </w:p>
        </w:tc>
      </w:tr>
    </w:tbl>
    <w:p>
      <w:pPr>
        <w:pStyle w:val="Heading1"/>
        <w:keepNext/>
      </w:pPr>
      <w:r>
        <w:t>6. Recommended paper narrative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Establish the saturation problem and hard-map calibration with C1-C5.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Show representation and training recovery with C6, then generalize the static integration result with C7.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Extend to dynamic space-time planning with C8 and report the future-window negative as a mechanism result.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Present C9/C9h as the supervision-regime result and use C9b to explain why world count is not sample count under dynamics.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Present C10 as a clean null conditioned on plateaued experts and a strong pooled base.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Use the discrete focal result as the cross-space integration counterpoint.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Close with C11 and C12: large substrate headroom does not automatically translate into a hierarchy or depth-of-compute advantage.</w:t>
      </w:r>
    </w:p>
    <w:p>
      <w:pPr>
        <w:pStyle w:val="Heading1"/>
        <w:keepNext/>
      </w:pPr>
      <w:r>
        <w:t>7. Immediate priorities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Recompute C9, C9h, C9b, C10, and C11 uncertainty at the TEST-world level, nesting model/adaptation seeds within worlds.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Add direct paired contrasts: LoRA vs full-FT, aware vs blind, RBF vs zero-shot, and structured arm vs MLP.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Run publication-scale replication for C7/C8 with additional training seeds and evaluation worlds before adding more architecture variants.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Expand the discrete focal pilot to the full suite and budget matrix with paired success and expansion uncertainty.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Report path cost/suboptimality wherever raw data support it and keep success separate from solved-only expansion ratios.</w:t>
      </w:r>
    </w:p>
    <w:p>
      <w:pPr>
        <w:widowControl/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A1A1A"/>
          <w:sz w:val="22"/>
        </w:rPr>
        <w:t>Treat C12-A as a development-only negative and decide separately whether C12-B tied refinement belongs in this paper, an appendix, or a follow-up.</w:t>
      </w:r>
    </w:p>
    <w:p>
      <w:pPr>
        <w:pStyle w:val="Heading1"/>
        <w:keepNext/>
      </w:pPr>
      <w:r>
        <w:t>8. Source register</w:t>
      </w:r>
    </w:p>
    <w:p>
      <w:pPr>
        <w:widowControl/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detailed source ledger remains in MASTER_EXPERIMENT_SYNTHESIS.md. The principal result documents used in this brief are grouped below.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Discrete forecasting: BENCHMARK_RESULTS.md; LSTM_VS_HRM_EXPERIMENT.md; ONLSTM_VS_HRM_EXPERIMENT_PRESETM_V2.md.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Discrete learned heuristics: EXPERIMENT_RESULTS_COMPENDIUM.md; FOCAL_SEARCH_RESULTS.md; EXPERIMENT_RESULTS_FOCAL_REDESIGN.md; FAST_EVAL.md.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Direct-solver fidelity: TRAINING_RESULTS.md; PORT_FIDELITY_AUDIT.md; RETRAIN_RESULTS.md.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Continuous setup and integration: C5 hard-map report; C6_RESULTS.md; C7_RESULTS.md; C8_RESULTS.md.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Transfer and composition: C9_RESULTS.md; C9H_RESULTS.md; C9B_RESULTS.md; C10_RESULTS.md.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Hierarchy-specific tests: C11_HEADROOM.md; C11_RESULTS.md; C12 design/plan; completed C12 pilot manifest and C12A_ANALYSIS.md.</w:t>
      </w:r>
    </w:p>
    <w:p>
      <w:pPr>
        <w:widowControl/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A1A1A"/>
          <w:sz w:val="22"/>
        </w:rPr>
        <w:t>Cross-space synthesis: HRM_HEADTOHEAD.md; PROGRAM_AUDIT_HIERARCHY_AND_SUBSTRATE.md; VALIDATION_GATES.md.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E8EEF5"/>
              <w:bottom w:val="single" w:sz="4" w:color="E8EEF5"/>
              <w:start w:val="single" w:sz="18" w:color="2E74B5"/>
              <w:end w:val="single" w:sz="4" w:color="E8EEF5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Suggested discussion close. 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We now have a coherent account of where learned guidance works, why several hierarchy claims fail, and which statistical hardening steps are required before the evidence becomes a submission-ready results section.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i w:val="0"/>
        <w:color w:val="667085"/>
        <w:sz w:val="17"/>
      </w:rPr>
      <w:t>HRMv2 EXPERIMENTAL PROGRAM</w:t>
    </w:r>
    <w:r>
      <w:tab/>
    </w:r>
    <w:r>
      <w:rPr>
        <w:rFonts w:ascii="Calibri" w:hAnsi="Calibri"/>
        <w:b w:val="0"/>
        <w:i w:val="0"/>
        <w:color w:val="667085"/>
        <w:sz w:val="17"/>
      </w:rPr>
      <w:t>RESEARCH BRIEF |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keepNext/>
      <w:spacing w:before="160" w:after="80"/>
    </w:pPr>
    <w:rPr>
      <w:rFonts w:ascii="Calibri" w:hAnsi="Calibri"/>
      <w:b/>
      <w:color w:val="0B2545"/>
      <w:sz w:val="20"/>
    </w:rPr>
  </w:style>
  <w:style w:type="paragraph" w:customStyle="1" w:styleId="TableSource">
    <w:name w:val="Table Source"/>
    <w:pPr>
      <w:spacing w:before="80" w:after="80"/>
    </w:pPr>
    <w:rPr>
      <w:rFonts w:ascii="Calibri" w:hAnsi="Calibri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Learned Planning Heuristics: Complete Experimental History</dc:title>
  <dc:subject>HRMv2 research program evidence brief</dc:subject>
  <dc:creator>HRMv2 Research Program</dc:creator>
  <cp:keywords>HRM, ON-LSTM, A*, PRM, learned heuristics, transfer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