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PROFESSOR MEETING BRIEF</w:t>
      </w:r>
    </w:p>
    <w:p>
      <w:pPr>
        <w:pStyle w:val="BriefTitle"/>
      </w:pPr>
      <w:r>
        <w:t>Learned Heuristics for Planning</w:t>
      </w:r>
    </w:p>
    <w:p>
      <w:pPr>
        <w:pStyle w:val="BriefSubtitle"/>
      </w:pPr>
      <w:r>
        <w:t>Continuous-space program (C6–C12) + discrete learned focal search</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1700"/>
        <w:gridCol w:w="7660"/>
      </w:tblGrid>
      <w:tr>
        <w:trPr>
          <w:cantSplit/>
          <w:tblHeader w:val="true"/>
        </w:trPr>
        <w:tc>
          <w:tcPr>
            <w:tcW w:type="dxa" w:w="1700"/>
            <w:tcMar>
              <w:top w:w="80" w:type="dxa"/>
              <w:start w:w="120" w:type="dxa"/>
              <w:bottom w:w="80" w:type="dxa"/>
              <w:end w:w="120" w:type="dxa"/>
            </w:tcMar>
            <w:vAlign w:val="top"/>
          </w:tcPr>
          <w:p>
            <w:pPr>
              <w:pStyle w:val="CheatBody"/>
            </w:pPr>
            <w:r>
              <w:rPr>
                <w:rFonts w:ascii="Calibri" w:hAnsi="Calibri" w:eastAsia="Calibri"/>
                <w:b/>
                <w:color w:val="2E74B5"/>
                <w:sz w:val="17"/>
              </w:rPr>
              <w:t>MEETING</w:t>
            </w:r>
          </w:p>
        </w:tc>
        <w:tc>
          <w:tcPr>
            <w:tcW w:type="dxa" w:w="7660"/>
            <w:tcMar>
              <w:top w:w="80" w:type="dxa"/>
              <w:start w:w="120" w:type="dxa"/>
              <w:bottom w:w="80" w:type="dxa"/>
              <w:end w:w="120" w:type="dxa"/>
            </w:tcMar>
            <w:vAlign w:val="top"/>
          </w:tcPr>
          <w:p>
            <w:pPr>
              <w:pStyle w:val="CheatBody"/>
            </w:pPr>
            <w:r>
              <w:rPr>
                <w:rFonts w:ascii="Calibri" w:hAnsi="Calibri" w:eastAsia="Calibri"/>
                <w:color w:val="222222"/>
                <w:sz w:val="20"/>
              </w:rPr>
              <w:t>July 11, 2026</w:t>
            </w:r>
          </w:p>
        </w:tc>
      </w:tr>
      <w:tr>
        <w:trPr>
          <w:cantSplit/>
        </w:trPr>
        <w:tc>
          <w:tcPr>
            <w:tcW w:type="dxa" w:w="1700"/>
            <w:tcMar>
              <w:top w:w="80" w:type="dxa"/>
              <w:start w:w="120" w:type="dxa"/>
              <w:bottom w:w="80" w:type="dxa"/>
              <w:end w:w="120" w:type="dxa"/>
            </w:tcMar>
            <w:vAlign w:val="top"/>
          </w:tcPr>
          <w:p>
            <w:pPr>
              <w:pStyle w:val="CheatBody"/>
            </w:pPr>
            <w:r>
              <w:rPr>
                <w:rFonts w:ascii="Calibri" w:hAnsi="Calibri" w:eastAsia="Calibri"/>
                <w:b/>
                <w:color w:val="2E74B5"/>
                <w:sz w:val="17"/>
              </w:rPr>
              <w:t>PREPARED</w:t>
            </w:r>
          </w:p>
        </w:tc>
        <w:tc>
          <w:tcPr>
            <w:tcW w:type="dxa" w:w="7660"/>
            <w:tcMar>
              <w:top w:w="80" w:type="dxa"/>
              <w:start w:w="120" w:type="dxa"/>
              <w:bottom w:w="80" w:type="dxa"/>
              <w:end w:w="120" w:type="dxa"/>
            </w:tcMar>
            <w:vAlign w:val="top"/>
          </w:tcPr>
          <w:p>
            <w:pPr>
              <w:pStyle w:val="CheatBody"/>
            </w:pPr>
            <w:r>
              <w:rPr>
                <w:rFonts w:ascii="Calibri" w:hAnsi="Calibri" w:eastAsia="Calibri"/>
                <w:color w:val="222222"/>
                <w:sz w:val="20"/>
              </w:rPr>
              <w:t>July 10, 2026 | evidence cut at 1:10 a.m. PT</w:t>
            </w:r>
          </w:p>
        </w:tc>
      </w:tr>
      <w:tr>
        <w:trPr>
          <w:cantSplit/>
        </w:trPr>
        <w:tc>
          <w:tcPr>
            <w:tcW w:type="dxa" w:w="1700"/>
            <w:tcMar>
              <w:top w:w="80" w:type="dxa"/>
              <w:start w:w="120" w:type="dxa"/>
              <w:bottom w:w="80" w:type="dxa"/>
              <w:end w:w="120" w:type="dxa"/>
            </w:tcMar>
            <w:vAlign w:val="top"/>
          </w:tcPr>
          <w:p>
            <w:pPr>
              <w:pStyle w:val="CheatBody"/>
            </w:pPr>
            <w:r>
              <w:rPr>
                <w:rFonts w:ascii="Calibri" w:hAnsi="Calibri" w:eastAsia="Calibri"/>
                <w:b/>
                <w:color w:val="2E74B5"/>
                <w:sz w:val="17"/>
              </w:rPr>
              <w:t>LIVE STATUS</w:t>
            </w:r>
          </w:p>
        </w:tc>
        <w:tc>
          <w:tcPr>
            <w:tcW w:type="dxa" w:w="7660"/>
            <w:tcMar>
              <w:top w:w="80" w:type="dxa"/>
              <w:start w:w="120" w:type="dxa"/>
              <w:bottom w:w="80" w:type="dxa"/>
              <w:end w:w="120" w:type="dxa"/>
            </w:tcMar>
            <w:vAlign w:val="top"/>
          </w:tcPr>
          <w:p>
            <w:pPr>
              <w:pStyle w:val="CheatBody"/>
            </w:pPr>
            <w:r>
              <w:rPr>
                <w:rFonts w:ascii="Calibri" w:hAnsi="Calibri" w:eastAsia="Calibri"/>
                <w:color w:val="222222"/>
                <w:sz w:val="20"/>
              </w:rPr>
              <w:t>C11 main grid complete; scaled U-Net/HRM addendum at 9/12 checkpoints and not yet evaluated</w:t>
            </w:r>
          </w:p>
        </w:tc>
      </w:tr>
    </w:tbl>
    <w:p>
      <w:pPr>
        <w:spacing w:before="60" w:after="180"/>
        <w:pBdr>
          <w:bottom w:val="single" w:sz="12" w:space="2" w:color="2E74B5"/>
        </w:pBd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blHeader w:val="true"/>
        </w:trPr>
        <w:tc>
          <w:tcPr>
            <w:tcW w:type="dxa" w:w="9360"/>
            <w:tcMar>
              <w:top w:w="80" w:type="dxa"/>
              <w:start w:w="120" w:type="dxa"/>
              <w:bottom w:w="80" w:type="dxa"/>
              <w:end w:w="120" w:type="dxa"/>
            </w:tcMar>
            <w:vAlign w:val="top"/>
            <w:shd w:fill="F4F6F9" w:val="clear"/>
            <w:tcBorders>
              <w:left w:val="single" w:sz="18" w:space="0" w:color="2E74B5"/>
              <w:top w:val="single" w:sz="4" w:space="0" w:color="C9D2DD"/>
              <w:bottom w:val="single" w:sz="4" w:space="0" w:color="C9D2DD"/>
              <w:right w:val="single" w:sz="4" w:space="0" w:color="C9D2DD"/>
            </w:tcBorders>
          </w:tcPr>
          <w:p>
            <w:pPr>
              <w:spacing w:after="40"/>
            </w:pPr>
            <w:r>
              <w:rPr>
                <w:rFonts w:ascii="Calibri" w:hAnsi="Calibri" w:eastAsia="Calibri"/>
                <w:b/>
                <w:color w:val="2E74B5"/>
                <w:sz w:val="18"/>
              </w:rPr>
              <w:t>30-SECOND THESIS</w:t>
            </w:r>
          </w:p>
          <w:p>
            <w:pPr>
              <w:pStyle w:val="CheatBody"/>
            </w:pPr>
            <w:r>
              <w:t>Learned heuristics reliably cut search and transfer, but representation, baseline tightness, information access, and supervision matter more than model name. C11 gave huge compositional oracle headroom yet no hierarchy/depth dose-response—only shallow global-input gains. C12 targets the two mechanisms still untested: persistent memory under partial observability and tied iterative full-graph refinement.</w:t>
            </w:r>
          </w:p>
        </w:tc>
      </w:tr>
    </w:tbl>
    <w:p>
      <w:pPr>
        <w:spacing w:after="0" w:line="96" w:lineRule="auto"/>
      </w:pPr>
    </w:p>
    <w:tbl>
      <w:tblPr>
        <w:tblW w:type="dxa" w:w="9360"/>
        <w:jc w:val="left"/>
        <w:tblLayout w:type="fixed"/>
        <w:tblLook w:firstColumn="1" w:firstRow="1" w:lastColumn="0" w:lastRow="0" w:noHBand="0" w:noVBand="1" w:val="04A0"/>
        <w:tblInd w:w="120" w:type="dxa"/>
        <w:tblBorders>
          <w:top w:val="single" w:sz="4" w:space="0" w:color="B9C8D8"/>
          <w:left w:val="single" w:sz="4" w:space="0" w:color="B9C8D8"/>
          <w:bottom w:val="single" w:sz="4" w:space="0" w:color="B9C8D8"/>
          <w:right w:val="single" w:sz="4" w:space="0" w:color="B9C8D8"/>
          <w:insideH w:val="single" w:sz="4" w:space="0" w:color="B9C8D8"/>
          <w:insideV w:val="single" w:sz="4" w:space="0" w:color="B9C8D8"/>
        </w:tblBorders>
      </w:tblPr>
      <w:tblGrid>
        <w:gridCol w:w="2340"/>
        <w:gridCol w:w="2340"/>
        <w:gridCol w:w="2340"/>
        <w:gridCol w:w="2340"/>
      </w:tblGrid>
      <w:tr>
        <w:trPr>
          <w:cantSplit/>
          <w:tblHeader w:val="true"/>
        </w:trPr>
        <w:tc>
          <w:tcPr>
            <w:tcW w:type="dxa" w:w="2340"/>
            <w:tcMar>
              <w:top w:w="80" w:type="dxa"/>
              <w:start w:w="120" w:type="dxa"/>
              <w:bottom w:w="80" w:type="dxa"/>
              <w:end w:w="120" w:type="dxa"/>
            </w:tcMar>
            <w:vAlign w:val="top"/>
            <w:shd w:fill="E8EEF5" w:val="clear"/>
          </w:tcPr>
          <w:p>
            <w:pPr>
              <w:spacing w:after="40"/>
              <w:jc w:val="center"/>
            </w:pPr>
            <w:r>
              <w:rPr>
                <w:rFonts w:ascii="Calibri" w:hAnsi="Calibri" w:eastAsia="Calibri"/>
                <w:b/>
                <w:color w:val="0B2545"/>
                <w:sz w:val="30"/>
              </w:rPr>
              <w:t>15–48%</w:t>
            </w:r>
          </w:p>
          <w:p>
            <w:pPr>
              <w:spacing w:after="0" w:line="240" w:lineRule="auto"/>
              <w:jc w:val="center"/>
            </w:pPr>
            <w:r>
              <w:rPr>
                <w:rFonts w:ascii="Calibri" w:hAnsi="Calibri" w:eastAsia="Calibri"/>
                <w:b/>
                <w:color w:val="5B6573"/>
                <w:sz w:val="16"/>
              </w:rPr>
              <w:t>C7 fewer expansions</w:t>
            </w:r>
          </w:p>
        </w:tc>
        <w:tc>
          <w:tcPr>
            <w:tcW w:type="dxa" w:w="2340"/>
            <w:tcMar>
              <w:top w:w="80" w:type="dxa"/>
              <w:start w:w="120" w:type="dxa"/>
              <w:bottom w:w="80" w:type="dxa"/>
              <w:end w:w="120" w:type="dxa"/>
            </w:tcMar>
            <w:vAlign w:val="top"/>
            <w:shd w:fill="E8EEF5" w:val="clear"/>
          </w:tcPr>
          <w:p>
            <w:pPr>
              <w:spacing w:after="40"/>
              <w:jc w:val="center"/>
            </w:pPr>
            <w:r>
              <w:rPr>
                <w:rFonts w:ascii="Calibri" w:hAnsi="Calibri" w:eastAsia="Calibri"/>
                <w:b/>
                <w:color w:val="0B2545"/>
                <w:sz w:val="30"/>
              </w:rPr>
              <w:t>65–95%</w:t>
            </w:r>
          </w:p>
          <w:p>
            <w:pPr>
              <w:spacing w:after="0" w:line="240" w:lineRule="auto"/>
              <w:jc w:val="center"/>
            </w:pPr>
            <w:r>
              <w:rPr>
                <w:rFonts w:ascii="Calibri" w:hAnsi="Calibri" w:eastAsia="Calibri"/>
                <w:b/>
                <w:color w:val="5B6573"/>
                <w:sz w:val="16"/>
              </w:rPr>
              <w:t>C8 dynamic reduction</w:t>
            </w:r>
          </w:p>
        </w:tc>
        <w:tc>
          <w:tcPr>
            <w:tcW w:type="dxa" w:w="2340"/>
            <w:tcMar>
              <w:top w:w="80" w:type="dxa"/>
              <w:start w:w="120" w:type="dxa"/>
              <w:bottom w:w="80" w:type="dxa"/>
              <w:end w:w="120" w:type="dxa"/>
            </w:tcMar>
            <w:vAlign w:val="top"/>
            <w:shd w:fill="E8EEF5" w:val="clear"/>
          </w:tcPr>
          <w:p>
            <w:pPr>
              <w:spacing w:after="40"/>
              <w:jc w:val="center"/>
            </w:pPr>
            <w:r>
              <w:rPr>
                <w:rFonts w:ascii="Calibri" w:hAnsi="Calibri" w:eastAsia="Calibri"/>
                <w:b/>
                <w:color w:val="0B2545"/>
                <w:sz w:val="30"/>
              </w:rPr>
              <w:t>6–15%</w:t>
            </w:r>
          </w:p>
          <w:p>
            <w:pPr>
              <w:spacing w:after="0" w:line="240" w:lineRule="auto"/>
              <w:jc w:val="center"/>
            </w:pPr>
            <w:r>
              <w:rPr>
                <w:rFonts w:ascii="Calibri" w:hAnsi="Calibri" w:eastAsia="Calibri"/>
                <w:b/>
                <w:color w:val="5B6573"/>
                <w:sz w:val="16"/>
              </w:rPr>
              <w:t>Discrete focal reduction</w:t>
            </w:r>
          </w:p>
        </w:tc>
        <w:tc>
          <w:tcPr>
            <w:tcW w:type="dxa" w:w="2340"/>
            <w:tcMar>
              <w:top w:w="80" w:type="dxa"/>
              <w:start w:w="120" w:type="dxa"/>
              <w:bottom w:w="80" w:type="dxa"/>
              <w:end w:w="120" w:type="dxa"/>
            </w:tcMar>
            <w:vAlign w:val="top"/>
            <w:shd w:fill="E8EEF5" w:val="clear"/>
          </w:tcPr>
          <w:p>
            <w:pPr>
              <w:spacing w:after="40"/>
              <w:jc w:val="center"/>
            </w:pPr>
            <w:r>
              <w:rPr>
                <w:rFonts w:ascii="Calibri" w:hAnsi="Calibri" w:eastAsia="Calibri"/>
                <w:b/>
                <w:color w:val="0B2545"/>
                <w:sz w:val="30"/>
              </w:rPr>
              <w:t>0.082–0.225</w:t>
            </w:r>
          </w:p>
          <w:p>
            <w:pPr>
              <w:spacing w:after="0" w:line="240" w:lineRule="auto"/>
              <w:jc w:val="center"/>
            </w:pPr>
            <w:r>
              <w:rPr>
                <w:rFonts w:ascii="Calibri" w:hAnsi="Calibri" w:eastAsia="Calibri"/>
                <w:b/>
                <w:color w:val="5B6573"/>
                <w:sz w:val="16"/>
              </w:rPr>
              <w:t>C11 oracle / leg-sum</w:t>
            </w:r>
          </w:p>
        </w:tc>
      </w:tr>
    </w:tbl>
    <w:p>
      <w:pPr>
        <w:spacing w:after="20"/>
      </w:pPr>
    </w:p>
    <w:tbl>
      <w:tblPr>
        <w:tblW w:type="dxa" w:w="9360"/>
        <w:jc w:val="left"/>
        <w:tblLayout w:type="fixed"/>
        <w:tblLook w:firstColumn="1" w:firstRow="1" w:lastColumn="0" w:lastRow="0" w:noHBand="0" w:noVBand="1" w:val="04A0"/>
        <w:tblInd w:w="120" w:type="dxa"/>
        <w:tblBorders>
          <w:top w:val="single" w:sz="4" w:space="0" w:color="C9D2DD"/>
          <w:left w:val="single" w:sz="4" w:space="0" w:color="C9D2DD"/>
          <w:bottom w:val="single" w:sz="4" w:space="0" w:color="C9D2DD"/>
          <w:right w:val="single" w:sz="4" w:space="0" w:color="C9D2DD"/>
          <w:insideH w:val="single" w:sz="4" w:space="0" w:color="C9D2DD"/>
          <w:insideV w:val="single" w:sz="4" w:space="0" w:color="C9D2DD"/>
        </w:tblBorders>
      </w:tblPr>
      <w:tblGrid>
        <w:gridCol w:w="4680"/>
        <w:gridCol w:w="4680"/>
      </w:tblGrid>
      <w:tr>
        <w:trPr>
          <w:cantSplit/>
          <w:tblHeader w:val="true"/>
        </w:trPr>
        <w:tc>
          <w:tcPr>
            <w:tcW w:type="dxa" w:w="4680"/>
            <w:tcMar>
              <w:top w:w="50" w:type="dxa"/>
              <w:start w:w="120" w:type="dxa"/>
              <w:bottom w:w="50" w:type="dxa"/>
              <w:end w:w="120" w:type="dxa"/>
            </w:tcMar>
            <w:vAlign w:val="top"/>
            <w:shd w:fill="FFFFFF" w:val="clear"/>
          </w:tcPr>
          <w:p>
            <w:pPr>
              <w:spacing w:after="80"/>
            </w:pPr>
            <w:r>
              <w:rPr>
                <w:rFonts w:ascii="Calibri" w:hAnsi="Calibri" w:eastAsia="Calibri"/>
                <w:b/>
                <w:color w:val="2E74B5"/>
                <w:sz w:val="18"/>
              </w:rPr>
              <w:t>LEAD WITH THESE POINTS</w:t>
            </w:r>
          </w:p>
          <w:p>
            <w:pPr>
              <w:pStyle w:val="CheatBody"/>
              <w:numPr>
                <w:ilvl w:val="0"/>
                <w:numId w:val="1"/>
              </w:numPr>
              <w:spacing w:after="20"/>
            </w:pPr>
            <w:r>
              <w:t>C6 heatmap training reversed HRM’s C5 collapse; C7 then showed adequate training—not field representation alone—was the deeper fix.</w:t>
            </w:r>
          </w:p>
          <w:p>
            <w:pPr>
              <w:pStyle w:val="CheatBody"/>
              <w:numPr>
                <w:ilvl w:val="0"/>
                <w:numId w:val="1"/>
              </w:numPr>
              <w:spacing w:after="20"/>
            </w:pPr>
            <w:r>
              <w:t>C7/C8 learned heuristics strongly beat Euclid; C8 future-aware inputs still did not beat present-frame twins after a full-data hardened rerun.</w:t>
            </w:r>
          </w:p>
          <w:p>
            <w:pPr>
              <w:pStyle w:val="CheatBody"/>
              <w:numPr>
                <w:ilvl w:val="0"/>
                <w:numId w:val="1"/>
              </w:numPr>
              <w:spacing w:after="20"/>
            </w:pPr>
            <w:r>
              <w:t>Transfer tracks labeled-state scarcity: LoRA preserves priors; full fine-tuning wins with data. One dynamic world already gives roughly 25k labels.</w:t>
            </w:r>
          </w:p>
          <w:p>
            <w:pPr>
              <w:pStyle w:val="CheatBody"/>
              <w:numPr>
                <w:ilvl w:val="0"/>
                <w:numId w:val="1"/>
              </w:numPr>
              <w:spacing w:after="20"/>
            </w:pPr>
            <w:r>
              <w:t>Discrete focal turns a near-perfect but mis-scaled ranker into a win by using it only inside the admissible band.</w:t>
            </w:r>
          </w:p>
        </w:tc>
        <w:tc>
          <w:tcPr>
            <w:tcW w:type="dxa" w:w="4680"/>
            <w:tcMar>
              <w:top w:w="50" w:type="dxa"/>
              <w:start w:w="120" w:type="dxa"/>
              <w:bottom w:w="50" w:type="dxa"/>
              <w:end w:w="120" w:type="dxa"/>
            </w:tcMar>
            <w:vAlign w:val="top"/>
            <w:shd w:fill="F2F4F7" w:val="clear"/>
          </w:tcPr>
          <w:p>
            <w:pPr>
              <w:spacing w:after="80"/>
            </w:pPr>
            <w:r>
              <w:rPr>
                <w:rFonts w:ascii="Calibri" w:hAnsi="Calibri" w:eastAsia="Calibri"/>
                <w:b/>
                <w:color w:val="2E74B5"/>
                <w:sz w:val="18"/>
              </w:rPr>
              <w:t>DECISIONS TO ASK FOR</w:t>
            </w:r>
          </w:p>
          <w:p>
            <w:pPr>
              <w:pStyle w:val="CheatBody"/>
              <w:numPr>
                <w:ilvl w:val="0"/>
                <w:numId w:val="1"/>
              </w:numPr>
              <w:spacing w:after="20"/>
            </w:pPr>
            <w:r>
              <w:t>Paper now from C6–C11 plus focal, or hold for C12?</w:t>
            </w:r>
          </w:p>
          <w:p>
            <w:pPr>
              <w:pStyle w:val="CheatBody"/>
              <w:numPr>
                <w:ilvl w:val="0"/>
                <w:numId w:val="1"/>
              </w:numPr>
              <w:spacing w:after="20"/>
            </w:pPr>
            <w:r>
              <w:t>Prioritize world-clustered reanalysis and multi-seed replication?</w:t>
            </w:r>
          </w:p>
          <w:p>
            <w:pPr>
              <w:pStyle w:val="CheatBody"/>
              <w:numPr>
                <w:ilvl w:val="0"/>
                <w:numId w:val="1"/>
              </w:numPr>
              <w:spacing w:after="20"/>
            </w:pPr>
            <w:r>
              <w:t>Authorize only C12’s G0 probes before model training?</w:t>
            </w:r>
          </w:p>
          <w:p>
            <w:pPr>
              <w:pStyle w:val="CheatBody"/>
              <w:numPr>
                <w:ilvl w:val="0"/>
                <w:numId w:val="1"/>
              </w:numPr>
              <w:spacing w:after="20"/>
            </w:pPr>
            <w:r>
              <w:t>Expand focal to the full suite/budget matrix?</w:t>
            </w:r>
          </w:p>
        </w:tc>
      </w:tr>
    </w:tbl>
    <w:p>
      <w:pPr>
        <w:pStyle w:val="CheatBody"/>
        <w:spacing w:before="100"/>
      </w:pPr>
      <w:r>
        <w:rPr>
          <w:rFonts w:ascii="Calibri" w:hAnsi="Calibri" w:eastAsia="Calibri"/>
          <w:b/>
          <w:color w:val="1F4D78"/>
          <w:sz w:val="20"/>
        </w:rPr>
        <w:t xml:space="preserve">Suggested close: </w:t>
      </w:r>
      <w:r>
        <w:rPr>
          <w:rFonts w:ascii="Calibri" w:hAnsi="Calibri" w:eastAsia="Calibri"/>
          <w:color w:val="222222"/>
          <w:sz w:val="20"/>
        </w:rPr>
        <w:t>We now know where learned guidance works, where hierarchy has not separated, and exactly which untested mechanisms could still produce a principled hierarchy win.</w:t>
      </w:r>
    </w:p>
    <w:p>
      <w:r>
        <w:br w:type="page"/>
      </w:r>
    </w:p>
    <w:p>
      <w:pPr>
        <w:pStyle w:val="Heading1"/>
      </w:pPr>
      <w:r>
        <w:t>1. Meeting objective and evidence discipline</w:t>
      </w:r>
    </w:p>
    <w:p>
      <w:pPr/>
      <w:r>
        <w:rPr>
          <w:b/>
          <w:color w:val="1F4D78"/>
        </w:rPr>
        <w:t xml:space="preserve">Meeting objective: </w:t>
      </w:r>
      <w:r>
        <w:t>Align on the scientific story, decide what is paper-ready, and choose whether the next dollar/hour goes to statistical hardening, the C11 scale addendum, the discrete focal sweep, or C12’s gated mechanism tests.</w:t>
      </w:r>
    </w:p>
    <w:p>
      <w:pPr/>
      <w:r>
        <w:rPr>
          <w:b/>
          <w:color w:val="1F4D78"/>
        </w:rPr>
        <w:t xml:space="preserve">Core research question: </w:t>
      </w:r>
      <w:r>
        <w:t>When can a learned heuristic make graph search materially more efficient, and when does a hierarchical architecture add value beyond a strong flat or globally informed control?</w:t>
      </w:r>
    </w:p>
    <w:p>
      <w:pPr/>
      <w:r>
        <w:rPr>
          <w:b/>
          <w:color w:val="1F4D78"/>
        </w:rPr>
        <w:t xml:space="preserve">Evaluation unit: </w:t>
      </w:r>
      <w:r>
        <w:t>A world/episode is the independent unit. Repeated model or adaptation seeds on the same world are repeated measurements—not additional worlds. C12 explicitly fixes this with world-clustered inference.</w:t>
      </w:r>
    </w:p>
    <w:p>
      <w:pPr/>
      <w:r>
        <w:rPr>
          <w:b/>
          <w:color w:val="1F4D78"/>
        </w:rPr>
        <w:t xml:space="preserve">Primary metrics: </w:t>
      </w:r>
      <w:r>
        <w:t>Success within a fixed search/step budget; A* expansions; matched-solved expansion ratio (learned / baseline, below 1 is better); path suboptimality or arrival regret; and, where relevant, forecast error as a mechanism metric.</w:t>
      </w:r>
    </w:p>
    <w:p>
      <w:pPr/>
      <w:r>
        <w:rPr>
          <w:b/>
          <w:color w:val="1F4D78"/>
        </w:rPr>
        <w:t xml:space="preserve">Evidence language: </w:t>
      </w:r>
      <w:r>
        <w:t>A solved-only expansion ratio can hide success differences. Nulls are ‘no improvement observed,’ not equivalence. Local one-seed validations are strong directional evidence, not final publication estimates.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blHeader w:val="true"/>
        </w:trPr>
        <w:tc>
          <w:tcPr>
            <w:tcW w:type="dxa" w:w="9360"/>
            <w:tcMar>
              <w:top w:w="80" w:type="dxa"/>
              <w:start w:w="120" w:type="dxa"/>
              <w:bottom w:w="80" w:type="dxa"/>
              <w:end w:w="120" w:type="dxa"/>
            </w:tcMar>
            <w:vAlign w:val="top"/>
            <w:shd w:fill="E8EEF5" w:val="clear"/>
            <w:tcBorders>
              <w:left w:val="single" w:sz="18" w:space="0" w:color="1F4D78"/>
              <w:top w:val="single" w:sz="4" w:space="0" w:color="C9D2DD"/>
              <w:bottom w:val="single" w:sz="4" w:space="0" w:color="C9D2DD"/>
              <w:right w:val="single" w:sz="4" w:space="0" w:color="C9D2DD"/>
            </w:tcBorders>
          </w:tcPr>
          <w:p>
            <w:pPr>
              <w:spacing w:after="40"/>
            </w:pPr>
            <w:r>
              <w:rPr>
                <w:rFonts w:ascii="Calibri" w:hAnsi="Calibri" w:eastAsia="Calibri"/>
                <w:b/>
                <w:color w:val="1F4D78"/>
                <w:sz w:val="18"/>
              </w:rPr>
              <w:t>THE CLAIM TO DEFEND</w:t>
            </w:r>
          </w:p>
          <w:p>
            <w:pPr>
              <w:pStyle w:val="CalloutBody"/>
            </w:pPr>
            <w:r>
              <w:t>Representation and planner integration can make the same learned signal look broken or useful. Across continuous and discrete space, the most repeatable result is an efficiency margin from a pooled learned prior; architecture-specific hierarchy gains remain conditional and unproven.</w:t>
            </w:r>
          </w:p>
        </w:tc>
      </w:tr>
    </w:tbl>
    <w:p>
      <w:pPr>
        <w:spacing w:after="0" w:line="96" w:lineRule="auto"/>
      </w:pPr>
    </w:p>
    <w:p>
      <w:pPr>
        <w:pStyle w:val="Heading1"/>
      </w:pPr>
      <w:r>
        <w:t>2. Program map: from the heatmap decision to C12</w:t>
      </w:r>
    </w:p>
    <w:tbl>
      <w:tblPr>
        <w:tblW w:type="dxa" w:w="9360"/>
        <w:tblLayout w:type="fixed"/>
        <w:tblLook w:firstColumn="1" w:firstRow="1" w:lastColumn="0" w:lastRow="0" w:noHBand="0" w:noVBand="1" w:val="04A0"/>
        <w:jc w:val="left"/>
        <w:tblInd w:w="120" w:type="dxa"/>
        <w:tblBorders>
          <w:top w:val="single" w:sz="4" w:space="0" w:color="C9D2DD"/>
          <w:left w:val="single" w:sz="4" w:space="0" w:color="C9D2DD"/>
          <w:bottom w:val="single" w:sz="4" w:space="0" w:color="C9D2DD"/>
          <w:right w:val="single" w:sz="4" w:space="0" w:color="C9D2DD"/>
          <w:insideH w:val="single" w:sz="4" w:space="0" w:color="C9D2DD"/>
          <w:insideV w:val="single" w:sz="4" w:space="0" w:color="C9D2DD"/>
        </w:tblBorders>
      </w:tblPr>
      <w:tblGrid>
        <w:gridCol w:w="850"/>
        <w:gridCol w:w="1850"/>
        <w:gridCol w:w="3020"/>
        <w:gridCol w:w="3640"/>
      </w:tblGrid>
      <w:tr>
        <w:trPr>
          <w:cantSplit/>
          <w:tblHeader w:val="true"/>
          <w:cantSplit/>
        </w:trPr>
        <w:tc>
          <w:tcPr>
            <w:tcW w:type="dxa" w:w="850"/>
            <w:tcMar>
              <w:top w:w="80" w:type="dxa"/>
              <w:start w:w="120" w:type="dxa"/>
              <w:bottom w:w="80" w:type="dxa"/>
              <w:end w:w="120" w:type="dxa"/>
            </w:tcMar>
            <w:vAlign w:val="top"/>
            <w:shd w:fill="E8EEF5" w:val="clear"/>
          </w:tcPr>
          <w:p>
            <w:pPr>
              <w:pStyle w:val="CompactTable"/>
            </w:pPr>
            <w:r>
              <w:rPr>
                <w:rFonts w:ascii="Calibri" w:hAnsi="Calibri" w:eastAsia="Calibri"/>
                <w:b/>
                <w:color w:val="0B2545"/>
                <w:sz w:val="17"/>
              </w:rPr>
              <w:t>Stage</w:t>
            </w:r>
          </w:p>
        </w:tc>
        <w:tc>
          <w:tcPr>
            <w:tcW w:type="dxa" w:w="1850"/>
            <w:tcMar>
              <w:top w:w="80" w:type="dxa"/>
              <w:start w:w="120" w:type="dxa"/>
              <w:bottom w:w="80" w:type="dxa"/>
              <w:end w:w="120" w:type="dxa"/>
            </w:tcMar>
            <w:vAlign w:val="top"/>
            <w:shd w:fill="E8EEF5" w:val="clear"/>
          </w:tcPr>
          <w:p>
            <w:pPr>
              <w:pStyle w:val="CompactTable"/>
            </w:pPr>
            <w:r>
              <w:rPr>
                <w:rFonts w:ascii="Calibri" w:hAnsi="Calibri" w:eastAsia="Calibri"/>
                <w:b/>
                <w:color w:val="0B2545"/>
                <w:sz w:val="17"/>
              </w:rPr>
              <w:t>Question</w:t>
            </w:r>
          </w:p>
        </w:tc>
        <w:tc>
          <w:tcPr>
            <w:tcW w:type="dxa" w:w="3020"/>
            <w:tcMar>
              <w:top w:w="80" w:type="dxa"/>
              <w:start w:w="120" w:type="dxa"/>
              <w:bottom w:w="80" w:type="dxa"/>
              <w:end w:w="120" w:type="dxa"/>
            </w:tcMar>
            <w:vAlign w:val="top"/>
            <w:shd w:fill="E8EEF5" w:val="clear"/>
          </w:tcPr>
          <w:p>
            <w:pPr>
              <w:pStyle w:val="CompactTable"/>
            </w:pPr>
            <w:r>
              <w:rPr>
                <w:rFonts w:ascii="Calibri" w:hAnsi="Calibri" w:eastAsia="Calibri"/>
                <w:b/>
                <w:color w:val="0B2545"/>
                <w:sz w:val="17"/>
              </w:rPr>
              <w:t>Methodology</w:t>
            </w:r>
          </w:p>
        </w:tc>
        <w:tc>
          <w:tcPr>
            <w:tcW w:type="dxa" w:w="3640"/>
            <w:tcMar>
              <w:top w:w="80" w:type="dxa"/>
              <w:start w:w="120" w:type="dxa"/>
              <w:bottom w:w="80" w:type="dxa"/>
              <w:end w:w="120" w:type="dxa"/>
            </w:tcMar>
            <w:vAlign w:val="top"/>
            <w:shd w:fill="E8EEF5" w:val="clear"/>
          </w:tcPr>
          <w:p>
            <w:pPr>
              <w:pStyle w:val="CompactTable"/>
            </w:pPr>
            <w:r>
              <w:rPr>
                <w:rFonts w:ascii="Calibri" w:hAnsi="Calibri" w:eastAsia="Calibri"/>
                <w:b/>
                <w:color w:val="0B2545"/>
                <w:sz w:val="17"/>
              </w:rPr>
              <w:t>Evidence-safe verdict</w:t>
            </w:r>
          </w:p>
        </w:tc>
      </w:tr>
      <w:tr>
        <w:trPr>
          <w:cantSplit/>
          <w:cantSplit/>
        </w:trPr>
        <w:tc>
          <w:tcPr>
            <w:tcW w:type="dxa" w:w="850"/>
            <w:tcMar>
              <w:top w:w="80" w:type="dxa"/>
              <w:start w:w="120" w:type="dxa"/>
              <w:bottom w:w="80" w:type="dxa"/>
              <w:end w:w="120" w:type="dxa"/>
            </w:tcMar>
            <w:vAlign w:val="top"/>
          </w:tcPr>
          <w:p>
            <w:pPr>
              <w:pStyle w:val="CompactTable"/>
            </w:pPr>
            <w:r>
              <w:rPr>
                <w:rFonts w:ascii="Calibri" w:hAnsi="Calibri" w:eastAsia="Calibri"/>
                <w:b w:val="0"/>
                <w:color w:val="222222"/>
                <w:sz w:val="17"/>
              </w:rPr>
              <w:t>C6</w:t>
            </w:r>
          </w:p>
        </w:tc>
        <w:tc>
          <w:tcPr>
            <w:tcW w:type="dxa" w:w="1850"/>
            <w:tcMar>
              <w:top w:w="80" w:type="dxa"/>
              <w:start w:w="120" w:type="dxa"/>
              <w:bottom w:w="80" w:type="dxa"/>
              <w:end w:w="120" w:type="dxa"/>
            </w:tcMar>
            <w:vAlign w:val="top"/>
          </w:tcPr>
          <w:p>
            <w:pPr>
              <w:pStyle w:val="CompactTable"/>
            </w:pPr>
            <w:r>
              <w:rPr>
                <w:rFonts w:ascii="Calibri" w:hAnsi="Calibri" w:eastAsia="Calibri"/>
                <w:b w:val="0"/>
                <w:color w:val="222222"/>
                <w:sz w:val="17"/>
              </w:rPr>
              <w:t>Can a spatial target rescue HRM?</w:t>
            </w:r>
          </w:p>
        </w:tc>
        <w:tc>
          <w:tcPr>
            <w:tcW w:type="dxa" w:w="3020"/>
            <w:tcMar>
              <w:top w:w="80" w:type="dxa"/>
              <w:start w:w="120" w:type="dxa"/>
              <w:bottom w:w="80" w:type="dxa"/>
              <w:end w:w="120" w:type="dxa"/>
            </w:tcMar>
            <w:vAlign w:val="top"/>
          </w:tcPr>
          <w:p>
            <w:pPr>
              <w:pStyle w:val="CompactTable"/>
            </w:pPr>
            <w:r>
              <w:rPr>
                <w:rFonts w:ascii="Calibri" w:hAnsi="Calibri" w:eastAsia="Calibri"/>
                <w:b w:val="0"/>
                <w:color w:val="222222"/>
                <w:sz w:val="17"/>
              </w:rPr>
              <w:t>Goal-conditioned residual heatmap; U-Net/ON-LSTM/HRM; PRM-node sampling; oracle field.</w:t>
            </w:r>
          </w:p>
        </w:tc>
        <w:tc>
          <w:tcPr>
            <w:tcW w:type="dxa" w:w="3640"/>
            <w:tcMar>
              <w:top w:w="80" w:type="dxa"/>
              <w:start w:w="120" w:type="dxa"/>
              <w:bottom w:w="80" w:type="dxa"/>
              <w:end w:w="120" w:type="dxa"/>
            </w:tcMar>
            <w:vAlign w:val="top"/>
          </w:tcPr>
          <w:p>
            <w:pPr>
              <w:pStyle w:val="CompactTable"/>
            </w:pPr>
            <w:r>
              <w:rPr>
                <w:rFonts w:ascii="Calibri" w:hAnsi="Calibri" w:eastAsia="Calibri"/>
                <w:b w:val="0"/>
                <w:color w:val="222222"/>
                <w:sz w:val="17"/>
              </w:rPr>
              <w:t>Yes locally. HRM 0.975 vs Euclid 0.625 success at B144; 42 fewer expansions.</w:t>
            </w:r>
          </w:p>
        </w:tc>
      </w:tr>
      <w:tr>
        <w:trPr>
          <w:cantSplit/>
          <w:cantSplit/>
        </w:trPr>
        <w:tc>
          <w:tcPr>
            <w:tcW w:type="dxa" w:w="850"/>
            <w:tcMar>
              <w:top w:w="80" w:type="dxa"/>
              <w:start w:w="120" w:type="dxa"/>
              <w:bottom w:w="80" w:type="dxa"/>
              <w:end w:w="120" w:type="dxa"/>
            </w:tcMar>
            <w:vAlign w:val="top"/>
          </w:tcPr>
          <w:p>
            <w:pPr>
              <w:pStyle w:val="CompactTable"/>
            </w:pPr>
            <w:r>
              <w:rPr>
                <w:rFonts w:ascii="Calibri" w:hAnsi="Calibri" w:eastAsia="Calibri"/>
                <w:b w:val="0"/>
                <w:color w:val="222222"/>
                <w:sz w:val="17"/>
              </w:rPr>
              <w:t>C7</w:t>
            </w:r>
          </w:p>
        </w:tc>
        <w:tc>
          <w:tcPr>
            <w:tcW w:type="dxa" w:w="1850"/>
            <w:tcMar>
              <w:top w:w="80" w:type="dxa"/>
              <w:start w:w="120" w:type="dxa"/>
              <w:bottom w:w="80" w:type="dxa"/>
              <w:end w:w="120" w:type="dxa"/>
            </w:tcMar>
            <w:vAlign w:val="top"/>
          </w:tcPr>
          <w:p>
            <w:pPr>
              <w:pStyle w:val="CompactTable"/>
            </w:pPr>
            <w:r>
              <w:rPr>
                <w:rFonts w:ascii="Calibri" w:hAnsi="Calibri" w:eastAsia="Calibri"/>
                <w:b w:val="0"/>
                <w:color w:val="222222"/>
                <w:sz w:val="17"/>
              </w:rPr>
              <w:t>Representation or integration?</w:t>
            </w:r>
          </w:p>
        </w:tc>
        <w:tc>
          <w:tcPr>
            <w:tcW w:type="dxa" w:w="3020"/>
            <w:tcMar>
              <w:top w:w="80" w:type="dxa"/>
              <w:start w:w="120" w:type="dxa"/>
              <w:bottom w:w="80" w:type="dxa"/>
              <w:end w:w="120" w:type="dxa"/>
            </w:tcMar>
            <w:vAlign w:val="top"/>
          </w:tcPr>
          <w:p>
            <w:pPr>
              <w:pStyle w:val="CompactTable"/>
            </w:pPr>
            <w:r>
              <w:rPr>
                <w:rFonts w:ascii="Calibri" w:hAnsi="Calibri" w:eastAsia="Calibri"/>
                <w:b w:val="0"/>
                <w:color w:val="222222"/>
                <w:sz w:val="17"/>
              </w:rPr>
              <w:t>Matched scalar vs field vs focal; six hard suites; additive A* and bounded focal controls.</w:t>
            </w:r>
          </w:p>
        </w:tc>
        <w:tc>
          <w:tcPr>
            <w:tcW w:type="dxa" w:w="3640"/>
            <w:tcMar>
              <w:top w:w="80" w:type="dxa"/>
              <w:start w:w="120" w:type="dxa"/>
              <w:bottom w:w="80" w:type="dxa"/>
              <w:end w:w="120" w:type="dxa"/>
            </w:tcMar>
            <w:vAlign w:val="top"/>
          </w:tcPr>
          <w:p>
            <w:pPr>
              <w:pStyle w:val="CompactTable"/>
            </w:pPr>
            <w:r>
              <w:rPr>
                <w:rFonts w:ascii="Calibri" w:hAnsi="Calibri" w:eastAsia="Calibri"/>
                <w:b w:val="0"/>
                <w:color w:val="222222"/>
                <w:sz w:val="17"/>
              </w:rPr>
              <w:t>Learned additive guidance cuts 15–48%; scalar also works; focal is weak against loose Euclid.</w:t>
            </w:r>
          </w:p>
        </w:tc>
      </w:tr>
      <w:tr>
        <w:trPr>
          <w:cantSplit/>
          <w:cantSplit/>
        </w:trPr>
        <w:tc>
          <w:tcPr>
            <w:tcW w:type="dxa" w:w="850"/>
            <w:tcMar>
              <w:top w:w="80" w:type="dxa"/>
              <w:start w:w="120" w:type="dxa"/>
              <w:bottom w:w="80" w:type="dxa"/>
              <w:end w:w="120" w:type="dxa"/>
            </w:tcMar>
            <w:vAlign w:val="top"/>
          </w:tcPr>
          <w:p>
            <w:pPr>
              <w:pStyle w:val="CompactTable"/>
            </w:pPr>
            <w:r>
              <w:rPr>
                <w:rFonts w:ascii="Calibri" w:hAnsi="Calibri" w:eastAsia="Calibri"/>
                <w:b w:val="0"/>
                <w:color w:val="222222"/>
                <w:sz w:val="17"/>
              </w:rPr>
              <w:t>C8</w:t>
            </w:r>
          </w:p>
        </w:tc>
        <w:tc>
          <w:tcPr>
            <w:tcW w:type="dxa" w:w="1850"/>
            <w:tcMar>
              <w:top w:w="80" w:type="dxa"/>
              <w:start w:w="120" w:type="dxa"/>
              <w:bottom w:w="80" w:type="dxa"/>
              <w:end w:w="120" w:type="dxa"/>
            </w:tcMar>
            <w:vAlign w:val="top"/>
          </w:tcPr>
          <w:p>
            <w:pPr>
              <w:pStyle w:val="CompactTable"/>
            </w:pPr>
            <w:r>
              <w:rPr>
                <w:rFonts w:ascii="Calibri" w:hAnsi="Calibri" w:eastAsia="Calibri"/>
                <w:b w:val="0"/>
                <w:color w:val="222222"/>
                <w:sz w:val="17"/>
              </w:rPr>
              <w:t>Does explicit future context help?</w:t>
            </w:r>
          </w:p>
        </w:tc>
        <w:tc>
          <w:tcPr>
            <w:tcW w:type="dxa" w:w="3020"/>
            <w:tcMar>
              <w:top w:w="80" w:type="dxa"/>
              <w:start w:w="120" w:type="dxa"/>
              <w:bottom w:w="80" w:type="dxa"/>
              <w:end w:w="120" w:type="dxa"/>
            </w:tcMar>
            <w:vAlign w:val="top"/>
          </w:tcPr>
          <w:p>
            <w:pPr>
              <w:pStyle w:val="CompactTable"/>
            </w:pPr>
            <w:r>
              <w:rPr>
                <w:rFonts w:ascii="Calibri" w:hAnsi="Calibri" w:eastAsia="Calibri"/>
                <w:b w:val="0"/>
                <w:color w:val="222222"/>
                <w:sz w:val="17"/>
              </w:rPr>
              <w:t>Space-time PRM; W=8 aware vs W=0 twins; hardened dynamics; full-data heavy rerun.</w:t>
            </w:r>
          </w:p>
        </w:tc>
        <w:tc>
          <w:tcPr>
            <w:tcW w:type="dxa" w:w="3640"/>
            <w:tcMar>
              <w:top w:w="80" w:type="dxa"/>
              <w:start w:w="120" w:type="dxa"/>
              <w:bottom w:w="80" w:type="dxa"/>
              <w:end w:w="120" w:type="dxa"/>
            </w:tcMar>
            <w:vAlign w:val="top"/>
          </w:tcPr>
          <w:p>
            <w:pPr>
              <w:pStyle w:val="CompactTable"/>
            </w:pPr>
            <w:r>
              <w:rPr>
                <w:rFonts w:ascii="Calibri" w:hAnsi="Calibri" w:eastAsia="Calibri"/>
                <w:b w:val="0"/>
                <w:color w:val="222222"/>
                <w:sz w:val="17"/>
              </w:rPr>
              <w:t>Learned guidance cuts 65–95%; no systematic future-window benefit; U-Net strongest overall.</w:t>
            </w:r>
          </w:p>
        </w:tc>
      </w:tr>
      <w:tr>
        <w:trPr>
          <w:cantSplit/>
          <w:cantSplit/>
        </w:trPr>
        <w:tc>
          <w:tcPr>
            <w:tcW w:type="dxa" w:w="850"/>
            <w:tcMar>
              <w:top w:w="80" w:type="dxa"/>
              <w:start w:w="120" w:type="dxa"/>
              <w:bottom w:w="80" w:type="dxa"/>
              <w:end w:w="120" w:type="dxa"/>
            </w:tcMar>
            <w:vAlign w:val="top"/>
          </w:tcPr>
          <w:p>
            <w:pPr>
              <w:pStyle w:val="CompactTable"/>
            </w:pPr>
            <w:r>
              <w:rPr>
                <w:rFonts w:ascii="Calibri" w:hAnsi="Calibri" w:eastAsia="Calibri"/>
                <w:b w:val="0"/>
                <w:color w:val="222222"/>
                <w:sz w:val="17"/>
              </w:rPr>
              <w:t>C9</w:t>
            </w:r>
          </w:p>
        </w:tc>
        <w:tc>
          <w:tcPr>
            <w:tcW w:type="dxa" w:w="1850"/>
            <w:tcMar>
              <w:top w:w="80" w:type="dxa"/>
              <w:start w:w="120" w:type="dxa"/>
              <w:bottom w:w="80" w:type="dxa"/>
              <w:end w:w="120" w:type="dxa"/>
            </w:tcMar>
            <w:vAlign w:val="top"/>
          </w:tcPr>
          <w:p>
            <w:pPr>
              <w:pStyle w:val="CompactTable"/>
            </w:pPr>
            <w:r>
              <w:rPr>
                <w:rFonts w:ascii="Calibri" w:hAnsi="Calibri" w:eastAsia="Calibri"/>
                <w:b w:val="0"/>
                <w:color w:val="222222"/>
                <w:sz w:val="17"/>
              </w:rPr>
              <w:t>How few labels are enough?</w:t>
            </w:r>
          </w:p>
        </w:tc>
        <w:tc>
          <w:tcPr>
            <w:tcW w:type="dxa" w:w="3020"/>
            <w:tcMar>
              <w:top w:w="80" w:type="dxa"/>
              <w:start w:w="120" w:type="dxa"/>
              <w:bottom w:w="80" w:type="dxa"/>
              <w:end w:w="120" w:type="dxa"/>
            </w:tcMar>
            <w:vAlign w:val="top"/>
          </w:tcPr>
          <w:p>
            <w:pPr>
              <w:pStyle w:val="CompactTable"/>
            </w:pPr>
            <w:r>
              <w:rPr>
                <w:rFonts w:ascii="Calibri" w:hAnsi="Calibri" w:eastAsia="Calibri"/>
                <w:b w:val="0"/>
                <w:color w:val="222222"/>
                <w:sz w:val="17"/>
              </w:rPr>
              <w:t>Zero-shot, rank-8 LoRA, full fine-tune, scratch; K=1–32; fixed held-out worlds.</w:t>
            </w:r>
          </w:p>
        </w:tc>
        <w:tc>
          <w:tcPr>
            <w:tcW w:type="dxa" w:w="3640"/>
            <w:tcMar>
              <w:top w:w="80" w:type="dxa"/>
              <w:start w:w="120" w:type="dxa"/>
              <w:bottom w:w="80" w:type="dxa"/>
              <w:end w:w="120" w:type="dxa"/>
            </w:tcMar>
            <w:vAlign w:val="top"/>
          </w:tcPr>
          <w:p>
            <w:pPr>
              <w:pStyle w:val="CompactTable"/>
            </w:pPr>
            <w:r>
              <w:rPr>
                <w:rFonts w:ascii="Calibri" w:hAnsi="Calibri" w:eastAsia="Calibri"/>
                <w:b w:val="0"/>
                <w:color w:val="222222"/>
                <w:sz w:val="17"/>
              </w:rPr>
              <w:t>Pooled transfer dominates scratch at low K; full fine-tune reaches a higher ceiling with more data.</w:t>
            </w:r>
          </w:p>
        </w:tc>
      </w:tr>
      <w:tr>
        <w:trPr>
          <w:cantSplit/>
          <w:cantSplit/>
        </w:trPr>
        <w:tc>
          <w:tcPr>
            <w:tcW w:type="dxa" w:w="850"/>
            <w:tcMar>
              <w:top w:w="80" w:type="dxa"/>
              <w:start w:w="120" w:type="dxa"/>
              <w:bottom w:w="80" w:type="dxa"/>
              <w:end w:w="120" w:type="dxa"/>
            </w:tcMar>
            <w:vAlign w:val="top"/>
          </w:tcPr>
          <w:p>
            <w:pPr>
              <w:pStyle w:val="CompactTable"/>
            </w:pPr>
            <w:r>
              <w:rPr>
                <w:rFonts w:ascii="Calibri" w:hAnsi="Calibri" w:eastAsia="Calibri"/>
                <w:b w:val="0"/>
                <w:color w:val="222222"/>
                <w:sz w:val="17"/>
              </w:rPr>
              <w:t>C9h</w:t>
            </w:r>
          </w:p>
        </w:tc>
        <w:tc>
          <w:tcPr>
            <w:tcW w:type="dxa" w:w="1850"/>
            <w:tcMar>
              <w:top w:w="80" w:type="dxa"/>
              <w:start w:w="120" w:type="dxa"/>
              <w:bottom w:w="80" w:type="dxa"/>
              <w:end w:w="120" w:type="dxa"/>
            </w:tcMar>
            <w:vAlign w:val="top"/>
          </w:tcPr>
          <w:p>
            <w:pPr>
              <w:pStyle w:val="CompactTable"/>
            </w:pPr>
            <w:r>
              <w:rPr>
                <w:rFonts w:ascii="Calibri" w:hAnsi="Calibri" w:eastAsia="Calibri"/>
                <w:b w:val="0"/>
                <w:color w:val="222222"/>
                <w:sz w:val="17"/>
              </w:rPr>
              <w:t>Is the crossover a recipe artifact?</w:t>
            </w:r>
          </w:p>
        </w:tc>
        <w:tc>
          <w:tcPr>
            <w:tcW w:type="dxa" w:w="3020"/>
            <w:tcMar>
              <w:top w:w="80" w:type="dxa"/>
              <w:start w:w="120" w:type="dxa"/>
              <w:bottom w:w="80" w:type="dxa"/>
              <w:end w:w="120" w:type="dxa"/>
            </w:tcMar>
            <w:vAlign w:val="top"/>
          </w:tcPr>
          <w:p>
            <w:pPr>
              <w:pStyle w:val="CompactTable"/>
            </w:pPr>
            <w:r>
              <w:rPr>
                <w:rFonts w:ascii="Calibri" w:hAnsi="Calibri" w:eastAsia="Calibri"/>
                <w:b w:val="0"/>
                <w:color w:val="222222"/>
                <w:sz w:val="17"/>
              </w:rPr>
              <w:t>Matched epochs/LR; bounded vs unbounded LoRA; add field U-Net conv-LoRA.</w:t>
            </w:r>
          </w:p>
        </w:tc>
        <w:tc>
          <w:tcPr>
            <w:tcW w:type="dxa" w:w="3640"/>
            <w:tcMar>
              <w:top w:w="80" w:type="dxa"/>
              <w:start w:w="120" w:type="dxa"/>
              <w:bottom w:w="80" w:type="dxa"/>
              <w:end w:w="120" w:type="dxa"/>
            </w:tcMar>
            <w:vAlign w:val="top"/>
          </w:tcPr>
          <w:p>
            <w:pPr>
              <w:pStyle w:val="CompactTable"/>
            </w:pPr>
            <w:r>
              <w:rPr>
                <w:rFonts w:ascii="Calibri" w:hAnsi="Calibri" w:eastAsia="Calibri"/>
                <w:b w:val="0"/>
                <w:color w:val="222222"/>
                <w:sz w:val="17"/>
              </w:rPr>
              <w:t>Crossover persists; bound is irrelevant; low-rank capacity explains robustness/plateau.</w:t>
            </w:r>
          </w:p>
        </w:tc>
      </w:tr>
      <w:tr>
        <w:trPr>
          <w:cantSplit/>
          <w:cantSplit/>
        </w:trPr>
        <w:tc>
          <w:tcPr>
            <w:tcW w:type="dxa" w:w="850"/>
            <w:tcMar>
              <w:top w:w="80" w:type="dxa"/>
              <w:start w:w="120" w:type="dxa"/>
              <w:bottom w:w="80" w:type="dxa"/>
              <w:end w:w="120" w:type="dxa"/>
            </w:tcMar>
            <w:vAlign w:val="top"/>
          </w:tcPr>
          <w:p>
            <w:pPr>
              <w:pStyle w:val="CompactTable"/>
            </w:pPr>
            <w:r>
              <w:rPr>
                <w:rFonts w:ascii="Calibri" w:hAnsi="Calibri" w:eastAsia="Calibri"/>
                <w:b w:val="0"/>
                <w:color w:val="222222"/>
                <w:sz w:val="17"/>
              </w:rPr>
              <w:t>C9b</w:t>
            </w:r>
          </w:p>
        </w:tc>
        <w:tc>
          <w:tcPr>
            <w:tcW w:type="dxa" w:w="1850"/>
            <w:tcMar>
              <w:top w:w="80" w:type="dxa"/>
              <w:start w:w="120" w:type="dxa"/>
              <w:bottom w:w="80" w:type="dxa"/>
              <w:end w:w="120" w:type="dxa"/>
            </w:tcMar>
            <w:vAlign w:val="top"/>
          </w:tcPr>
          <w:p>
            <w:pPr>
              <w:pStyle w:val="CompactTable"/>
            </w:pPr>
            <w:r>
              <w:rPr>
                <w:rFonts w:ascii="Calibri" w:hAnsi="Calibri" w:eastAsia="Calibri"/>
                <w:b w:val="0"/>
                <w:color w:val="222222"/>
                <w:sz w:val="17"/>
              </w:rPr>
              <w:t>Does the story hold in dynamics?</w:t>
            </w:r>
          </w:p>
        </w:tc>
        <w:tc>
          <w:tcPr>
            <w:tcW w:type="dxa" w:w="3020"/>
            <w:tcMar>
              <w:top w:w="80" w:type="dxa"/>
              <w:start w:w="120" w:type="dxa"/>
              <w:bottom w:w="80" w:type="dxa"/>
              <w:end w:w="120" w:type="dxa"/>
            </w:tcMar>
            <w:vAlign w:val="top"/>
          </w:tcPr>
          <w:p>
            <w:pPr>
              <w:pStyle w:val="CompactTable"/>
            </w:pPr>
            <w:r>
              <w:rPr>
                <w:rFonts w:ascii="Calibri" w:hAnsi="Calibri" w:eastAsia="Calibri"/>
                <w:b w:val="0"/>
                <w:color w:val="222222"/>
                <w:sz w:val="17"/>
              </w:rPr>
              <w:t>Adapt aware/blind C8 sources; K=1/4/16; dense space-time labels.</w:t>
            </w:r>
          </w:p>
        </w:tc>
        <w:tc>
          <w:tcPr>
            <w:tcW w:type="dxa" w:w="3640"/>
            <w:tcMar>
              <w:top w:w="80" w:type="dxa"/>
              <w:start w:w="120" w:type="dxa"/>
              <w:bottom w:w="80" w:type="dxa"/>
              <w:end w:w="120" w:type="dxa"/>
            </w:tcMar>
            <w:vAlign w:val="top"/>
          </w:tcPr>
          <w:p>
            <w:pPr>
              <w:pStyle w:val="CompactTable"/>
            </w:pPr>
            <w:r>
              <w:rPr>
                <w:rFonts w:ascii="Calibri" w:hAnsi="Calibri" w:eastAsia="Calibri"/>
                <w:b w:val="0"/>
                <w:color w:val="222222"/>
                <w:sz w:val="17"/>
              </w:rPr>
              <w:t>Transfer works; static crossover leaves its scarcity regime; awareness still does not win.</w:t>
            </w:r>
          </w:p>
        </w:tc>
      </w:tr>
      <w:tr>
        <w:trPr>
          <w:cantSplit/>
          <w:cantSplit/>
        </w:trPr>
        <w:tc>
          <w:tcPr>
            <w:tcW w:type="dxa" w:w="850"/>
            <w:tcMar>
              <w:top w:w="80" w:type="dxa"/>
              <w:start w:w="120" w:type="dxa"/>
              <w:bottom w:w="80" w:type="dxa"/>
              <w:end w:w="120" w:type="dxa"/>
            </w:tcMar>
            <w:vAlign w:val="top"/>
          </w:tcPr>
          <w:p>
            <w:pPr>
              <w:pStyle w:val="CompactTable"/>
            </w:pPr>
            <w:r>
              <w:rPr>
                <w:rFonts w:ascii="Calibri" w:hAnsi="Calibri" w:eastAsia="Calibri"/>
                <w:b w:val="0"/>
                <w:color w:val="222222"/>
                <w:sz w:val="17"/>
              </w:rPr>
              <w:t>C10</w:t>
            </w:r>
          </w:p>
        </w:tc>
        <w:tc>
          <w:tcPr>
            <w:tcW w:type="dxa" w:w="1850"/>
            <w:tcMar>
              <w:top w:w="80" w:type="dxa"/>
              <w:start w:w="120" w:type="dxa"/>
              <w:bottom w:w="80" w:type="dxa"/>
              <w:end w:w="120" w:type="dxa"/>
            </w:tcMar>
            <w:vAlign w:val="top"/>
          </w:tcPr>
          <w:p>
            <w:pPr>
              <w:pStyle w:val="CompactTable"/>
            </w:pPr>
            <w:r>
              <w:rPr>
                <w:rFonts w:ascii="Calibri" w:hAnsi="Calibri" w:eastAsia="Calibri"/>
                <w:b w:val="0"/>
                <w:color w:val="222222"/>
                <w:sz w:val="17"/>
              </w:rPr>
              <w:t>Can adapters interpolate with zero labels?</w:t>
            </w:r>
          </w:p>
        </w:tc>
        <w:tc>
          <w:tcPr>
            <w:tcW w:type="dxa" w:w="3020"/>
            <w:tcMar>
              <w:top w:w="80" w:type="dxa"/>
              <w:start w:w="120" w:type="dxa"/>
              <w:bottom w:w="80" w:type="dxa"/>
              <w:end w:w="120" w:type="dxa"/>
            </w:tcMar>
            <w:vAlign w:val="top"/>
          </w:tcPr>
          <w:p>
            <w:pPr>
              <w:pStyle w:val="CompactTable"/>
            </w:pPr>
            <w:r>
              <w:rPr>
                <w:rFonts w:ascii="Calibri" w:hAnsi="Calibri" w:eastAsia="Calibri"/>
                <w:b w:val="0"/>
                <w:color w:val="222222"/>
                <w:sz w:val="17"/>
              </w:rPr>
              <w:t>16 source experts; RBF weight merge vs prediction mix, nearest, uniform, zero-shot.</w:t>
            </w:r>
          </w:p>
        </w:tc>
        <w:tc>
          <w:tcPr>
            <w:tcW w:type="dxa" w:w="3640"/>
            <w:tcMar>
              <w:top w:w="80" w:type="dxa"/>
              <w:start w:w="120" w:type="dxa"/>
              <w:bottom w:w="80" w:type="dxa"/>
              <w:end w:w="120" w:type="dxa"/>
            </w:tcMar>
            <w:vAlign w:val="top"/>
          </w:tcPr>
          <w:p>
            <w:pPr>
              <w:pStyle w:val="CompactTable"/>
            </w:pPr>
            <w:r>
              <w:rPr>
                <w:rFonts w:ascii="Calibri" w:hAnsi="Calibri" w:eastAsia="Calibri"/>
                <w:b w:val="0"/>
                <w:color w:val="222222"/>
                <w:sz w:val="17"/>
              </w:rPr>
              <w:t>Routing is 98.6–99.8% selective, but no composition method consistently beats the pooled base.</w:t>
            </w:r>
          </w:p>
        </w:tc>
      </w:tr>
      <w:tr>
        <w:trPr>
          <w:cantSplit/>
          <w:cantSplit/>
        </w:trPr>
        <w:tc>
          <w:tcPr>
            <w:tcW w:type="dxa" w:w="850"/>
            <w:tcMar>
              <w:top w:w="80" w:type="dxa"/>
              <w:start w:w="120" w:type="dxa"/>
              <w:bottom w:w="80" w:type="dxa"/>
              <w:end w:w="120" w:type="dxa"/>
            </w:tcMar>
            <w:vAlign w:val="top"/>
          </w:tcPr>
          <w:p>
            <w:pPr>
              <w:pStyle w:val="CompactTable"/>
            </w:pPr>
            <w:r>
              <w:rPr>
                <w:rFonts w:ascii="Calibri" w:hAnsi="Calibri" w:eastAsia="Calibri"/>
                <w:b w:val="0"/>
                <w:color w:val="222222"/>
                <w:sz w:val="17"/>
              </w:rPr>
              <w:t>C11</w:t>
            </w:r>
          </w:p>
        </w:tc>
        <w:tc>
          <w:tcPr>
            <w:tcW w:type="dxa" w:w="1850"/>
            <w:tcMar>
              <w:top w:w="80" w:type="dxa"/>
              <w:start w:w="120" w:type="dxa"/>
              <w:bottom w:w="80" w:type="dxa"/>
              <w:end w:w="120" w:type="dxa"/>
            </w:tcMar>
            <w:vAlign w:val="top"/>
          </w:tcPr>
          <w:p>
            <w:pPr>
              <w:pStyle w:val="CompactTable"/>
            </w:pPr>
            <w:r>
              <w:rPr>
                <w:rFonts w:ascii="Calibri" w:hAnsi="Calibri" w:eastAsia="Calibri"/>
                <w:b w:val="0"/>
                <w:color w:val="222222"/>
                <w:sz w:val="17"/>
              </w:rPr>
              <w:t>Does composition expose hierarchy?</w:t>
            </w:r>
          </w:p>
        </w:tc>
        <w:tc>
          <w:tcPr>
            <w:tcW w:type="dxa" w:w="3020"/>
            <w:tcMar>
              <w:top w:w="80" w:type="dxa"/>
              <w:start w:w="120" w:type="dxa"/>
              <w:bottom w:w="80" w:type="dxa"/>
              <w:end w:w="120" w:type="dxa"/>
            </w:tcMar>
            <w:vAlign w:val="top"/>
          </w:tcPr>
          <w:p>
            <w:pPr>
              <w:pStyle w:val="CompactTable"/>
            </w:pPr>
            <w:r>
              <w:rPr>
                <w:rFonts w:ascii="Calibri" w:hAnsi="Calibri" w:eastAsia="Calibri"/>
                <w:b w:val="0"/>
                <w:color w:val="222222"/>
                <w:sz w:val="17"/>
              </w:rPr>
              <w:t>Oracle headroom gate; MLP/U-Net/GNN/recurrent/ACT controls; K=0/2/4/8; 3 seeds.</w:t>
            </w:r>
          </w:p>
        </w:tc>
        <w:tc>
          <w:tcPr>
            <w:tcW w:type="dxa" w:w="3640"/>
            <w:tcMar>
              <w:top w:w="80" w:type="dxa"/>
              <w:start w:w="120" w:type="dxa"/>
              <w:bottom w:w="80" w:type="dxa"/>
              <w:end w:w="120" w:type="dxa"/>
            </w:tcMar>
            <w:vAlign w:val="top"/>
          </w:tcPr>
          <w:p>
            <w:pPr>
              <w:pStyle w:val="CompactTable"/>
            </w:pPr>
            <w:r>
              <w:rPr>
                <w:rFonts w:ascii="Calibri" w:hAnsi="Calibri" w:eastAsia="Calibri"/>
                <w:b w:val="0"/>
                <w:color w:val="222222"/>
                <w:sz w:val="17"/>
              </w:rPr>
              <w:t>Headroom is huge; shallow global-input wins appear, but no hierarchy or compute-depth dose-response.</w:t>
            </w:r>
          </w:p>
        </w:tc>
      </w:tr>
      <w:tr>
        <w:trPr>
          <w:cantSplit/>
          <w:cantSplit/>
        </w:trPr>
        <w:tc>
          <w:tcPr>
            <w:tcW w:type="dxa" w:w="850"/>
            <w:tcMar>
              <w:top w:w="80" w:type="dxa"/>
              <w:start w:w="120" w:type="dxa"/>
              <w:bottom w:w="80" w:type="dxa"/>
              <w:end w:w="120" w:type="dxa"/>
            </w:tcMar>
            <w:vAlign w:val="top"/>
          </w:tcPr>
          <w:p>
            <w:pPr>
              <w:pStyle w:val="CompactTable"/>
            </w:pPr>
            <w:r>
              <w:rPr>
                <w:rFonts w:ascii="Calibri" w:hAnsi="Calibri" w:eastAsia="Calibri"/>
                <w:b w:val="0"/>
                <w:color w:val="222222"/>
                <w:sz w:val="17"/>
              </w:rPr>
              <w:t>C12</w:t>
            </w:r>
          </w:p>
        </w:tc>
        <w:tc>
          <w:tcPr>
            <w:tcW w:type="dxa" w:w="1850"/>
            <w:tcMar>
              <w:top w:w="80" w:type="dxa"/>
              <w:start w:w="120" w:type="dxa"/>
              <w:bottom w:w="80" w:type="dxa"/>
              <w:end w:w="120" w:type="dxa"/>
            </w:tcMar>
            <w:vAlign w:val="top"/>
          </w:tcPr>
          <w:p>
            <w:pPr>
              <w:pStyle w:val="CompactTable"/>
            </w:pPr>
            <w:r>
              <w:rPr>
                <w:rFonts w:ascii="Calibri" w:hAnsi="Calibri" w:eastAsia="Calibri"/>
                <w:b w:val="0"/>
                <w:color w:val="222222"/>
                <w:sz w:val="17"/>
              </w:rPr>
              <w:t>What mechanisms remain untested?</w:t>
            </w:r>
          </w:p>
        </w:tc>
        <w:tc>
          <w:tcPr>
            <w:tcW w:type="dxa" w:w="3020"/>
            <w:tcMar>
              <w:top w:w="80" w:type="dxa"/>
              <w:start w:w="120" w:type="dxa"/>
              <w:bottom w:w="80" w:type="dxa"/>
              <w:end w:w="120" w:type="dxa"/>
            </w:tcMar>
            <w:vAlign w:val="top"/>
          </w:tcPr>
          <w:p>
            <w:pPr>
              <w:pStyle w:val="CompactTable"/>
            </w:pPr>
            <w:r>
              <w:rPr>
                <w:rFonts w:ascii="Calibri" w:hAnsi="Calibri" w:eastAsia="Calibri"/>
                <w:b w:val="0"/>
                <w:color w:val="222222"/>
                <w:sz w:val="17"/>
              </w:rPr>
              <w:t>A: persistent memory under hidden slow/fast regimes. B: tied full-graph iterative refinement.</w:t>
            </w:r>
          </w:p>
        </w:tc>
        <w:tc>
          <w:tcPr>
            <w:tcW w:type="dxa" w:w="3640"/>
            <w:tcMar>
              <w:top w:w="80" w:type="dxa"/>
              <w:start w:w="120" w:type="dxa"/>
              <w:bottom w:w="80" w:type="dxa"/>
              <w:end w:w="120" w:type="dxa"/>
            </w:tcMar>
            <w:vAlign w:val="top"/>
          </w:tcPr>
          <w:p>
            <w:pPr>
              <w:pStyle w:val="CompactTable"/>
            </w:pPr>
            <w:r>
              <w:rPr>
                <w:rFonts w:ascii="Calibri" w:hAnsi="Calibri" w:eastAsia="Calibri"/>
                <w:b w:val="0"/>
                <w:color w:val="222222"/>
                <w:sz w:val="17"/>
              </w:rPr>
              <w:t>Design only. Gated so failed substrate/headroom cannot be mistaken for an architecture result.</w:t>
            </w:r>
          </w:p>
        </w:tc>
      </w:tr>
    </w:tbl>
    <w:p>
      <w:pPr>
        <w:spacing w:after="20"/>
      </w:pPr>
    </w:p>
    <w:p>
      <w:pPr>
        <w:pStyle w:val="TableCitation"/>
      </w:pPr>
      <w:r>
        <w:t>Evidence basis: canonical C6–C11 result reports, C12 approved design, and the current master experiment synthesis.</w:t>
      </w:r>
    </w:p>
    <w:p>
      <w:pPr>
        <w:pStyle w:val="Heading1"/>
      </w:pPr>
      <w:r>
        <w:t>3. C6 — heatmap/value-field training</w:t>
      </w:r>
    </w:p>
    <w:p>
      <w:pPr/>
      <w:r>
        <w:rPr>
          <w:b/>
          <w:color w:val="1F4D78"/>
        </w:rPr>
        <w:t xml:space="preserve">Why we did it: </w:t>
      </w:r>
      <w:r>
        <w:t>C5’s hard-map calibration created real planner headroom, but HRM’s per-node scalar residual collapsed to a constant cap. The hypothesis was that bottlenecks and gates are spatial objects, so a goal-conditioned residual field would supply a better optimization target and preserve global structure.</w:t>
      </w:r>
    </w:p>
    <w:p>
      <w:pPr/>
      <w:r>
        <w:rPr>
          <w:b/>
          <w:color w:val="1F4D78"/>
        </w:rPr>
        <w:t xml:space="preserve">Methodology: </w:t>
      </w:r>
      <w:r>
        <w:t>Predict a raster residual field, then bilinearly sample it at PRM nodes and add it to Euclidean distance. The implemented eight-channel input is occupancy, reachable-free mask, clearance, goal Gaussian, start Gaussian, x, y, and normalized Euclidean distance. The meaningful run used 96 training worlds, 40 evaluation worlds, 16 epochs, PRM 192/k7, grid 64, and budgets 128/144/168. U-Net, ON-LSTM, and HRM were compared with Euclid and an approximate raster-grid oracle. Success used paired McNemar tests with BH correction; field quality included rank correlation to the PRM oracle.</w:t>
      </w:r>
    </w:p>
    <w:tbl>
      <w:tblPr>
        <w:tblW w:type="dxa" w:w="9360"/>
        <w:tblLayout w:type="fixed"/>
        <w:tblLook w:firstColumn="1" w:firstRow="1" w:lastColumn="0" w:lastRow="0" w:noHBand="0" w:noVBand="1" w:val="04A0"/>
        <w:jc w:val="left"/>
        <w:tblInd w:w="120" w:type="dxa"/>
        <w:tblBorders>
          <w:top w:val="single" w:sz="4" w:space="0" w:color="C9D2DD"/>
          <w:left w:val="single" w:sz="4" w:space="0" w:color="C9D2DD"/>
          <w:bottom w:val="single" w:sz="4" w:space="0" w:color="C9D2DD"/>
          <w:right w:val="single" w:sz="4" w:space="0" w:color="C9D2DD"/>
          <w:insideH w:val="single" w:sz="4" w:space="0" w:color="C9D2DD"/>
          <w:insideV w:val="single" w:sz="4" w:space="0" w:color="C9D2DD"/>
        </w:tblBorders>
      </w:tblPr>
      <w:tblGrid>
        <w:gridCol w:w="2450"/>
        <w:gridCol w:w="1050"/>
        <w:gridCol w:w="1500"/>
        <w:gridCol w:w="2050"/>
        <w:gridCol w:w="2310"/>
      </w:tblGrid>
      <w:tr>
        <w:trPr>
          <w:cantSplit/>
          <w:tblHeader w:val="true"/>
          <w:cantSplit/>
        </w:trPr>
        <w:tc>
          <w:tcPr>
            <w:tcW w:type="dxa" w:w="245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Arm at hard-maze B144</w:t>
            </w:r>
          </w:p>
        </w:tc>
        <w:tc>
          <w:tcPr>
            <w:tcW w:type="dxa" w:w="105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Success</w:t>
            </w:r>
          </w:p>
        </w:tc>
        <w:tc>
          <w:tcPr>
            <w:tcW w:type="dxa" w:w="150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Delta vs Euclid</w:t>
            </w:r>
          </w:p>
        </w:tc>
        <w:tc>
          <w:tcPr>
            <w:tcW w:type="dxa" w:w="205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Mean expansion delta</w:t>
            </w:r>
          </w:p>
        </w:tc>
        <w:tc>
          <w:tcPr>
            <w:tcW w:type="dxa" w:w="231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Rank correlation</w:t>
            </w:r>
          </w:p>
        </w:tc>
      </w:tr>
      <w:tr>
        <w:trPr>
          <w:cantSplit/>
          <w:cantSplit/>
        </w:trPr>
        <w:tc>
          <w:tcPr>
            <w:tcW w:type="dxa" w:w="2450"/>
            <w:tcMar>
              <w:top w:w="80" w:type="dxa"/>
              <w:start w:w="120" w:type="dxa"/>
              <w:bottom w:w="80" w:type="dxa"/>
              <w:end w:w="120" w:type="dxa"/>
            </w:tcMar>
            <w:vAlign w:val="top"/>
          </w:tcPr>
          <w:p>
            <w:pPr>
              <w:pStyle w:val="TableBody"/>
            </w:pPr>
            <w:r>
              <w:rPr>
                <w:rFonts w:ascii="Calibri" w:hAnsi="Calibri" w:eastAsia="Calibri"/>
                <w:b w:val="0"/>
                <w:color w:val="222222"/>
                <w:sz w:val="18"/>
              </w:rPr>
              <w:t>Euclid</w:t>
            </w:r>
          </w:p>
        </w:tc>
        <w:tc>
          <w:tcPr>
            <w:tcW w:type="dxa" w:w="1050"/>
            <w:tcMar>
              <w:top w:w="80" w:type="dxa"/>
              <w:start w:w="120" w:type="dxa"/>
              <w:bottom w:w="80" w:type="dxa"/>
              <w:end w:w="120" w:type="dxa"/>
            </w:tcMar>
            <w:vAlign w:val="top"/>
          </w:tcPr>
          <w:p>
            <w:pPr>
              <w:pStyle w:val="TableBody"/>
            </w:pPr>
            <w:r>
              <w:rPr>
                <w:rFonts w:ascii="Calibri" w:hAnsi="Calibri" w:eastAsia="Calibri"/>
                <w:b w:val="0"/>
                <w:color w:val="222222"/>
                <w:sz w:val="18"/>
              </w:rPr>
              <w:t>0.625</w:t>
            </w:r>
          </w:p>
        </w:tc>
        <w:tc>
          <w:tcPr>
            <w:tcW w:type="dxa" w:w="1500"/>
            <w:tcMar>
              <w:top w:w="80" w:type="dxa"/>
              <w:start w:w="120" w:type="dxa"/>
              <w:bottom w:w="80" w:type="dxa"/>
              <w:end w:w="120" w:type="dxa"/>
            </w:tcMar>
            <w:vAlign w:val="top"/>
          </w:tcPr>
          <w:p>
            <w:pPr>
              <w:pStyle w:val="TableBody"/>
            </w:pPr>
            <w:r>
              <w:rPr>
                <w:rFonts w:ascii="Calibri" w:hAnsi="Calibri" w:eastAsia="Calibri"/>
                <w:b w:val="0"/>
                <w:color w:val="222222"/>
                <w:sz w:val="18"/>
              </w:rPr>
              <w:t>reference</w:t>
            </w:r>
          </w:p>
        </w:tc>
        <w:tc>
          <w:tcPr>
            <w:tcW w:type="dxa" w:w="2050"/>
            <w:tcMar>
              <w:top w:w="80" w:type="dxa"/>
              <w:start w:w="120" w:type="dxa"/>
              <w:bottom w:w="80" w:type="dxa"/>
              <w:end w:w="120" w:type="dxa"/>
            </w:tcMar>
            <w:vAlign w:val="top"/>
          </w:tcPr>
          <w:p>
            <w:pPr>
              <w:pStyle w:val="TableBody"/>
            </w:pPr>
            <w:r>
              <w:rPr>
                <w:rFonts w:ascii="Calibri" w:hAnsi="Calibri" w:eastAsia="Calibri"/>
                <w:b w:val="0"/>
                <w:color w:val="222222"/>
                <w:sz w:val="18"/>
              </w:rPr>
              <w:t>reference</w:t>
            </w:r>
          </w:p>
        </w:tc>
        <w:tc>
          <w:tcPr>
            <w:tcW w:type="dxa" w:w="2310"/>
            <w:tcMar>
              <w:top w:w="80" w:type="dxa"/>
              <w:start w:w="120" w:type="dxa"/>
              <w:bottom w:w="80" w:type="dxa"/>
              <w:end w:w="120" w:type="dxa"/>
            </w:tcMar>
            <w:vAlign w:val="top"/>
          </w:tcPr>
          <w:p>
            <w:pPr>
              <w:pStyle w:val="TableBody"/>
            </w:pPr>
            <w:r>
              <w:rPr>
                <w:rFonts w:ascii="Calibri" w:hAnsi="Calibri" w:eastAsia="Calibri"/>
                <w:b w:val="0"/>
                <w:color w:val="222222"/>
                <w:sz w:val="18"/>
              </w:rPr>
              <w:t>0.894</w:t>
            </w:r>
          </w:p>
        </w:tc>
      </w:tr>
      <w:tr>
        <w:trPr>
          <w:cantSplit/>
          <w:cantSplit/>
        </w:trPr>
        <w:tc>
          <w:tcPr>
            <w:tcW w:type="dxa" w:w="2450"/>
            <w:tcMar>
              <w:top w:w="80" w:type="dxa"/>
              <w:start w:w="120" w:type="dxa"/>
              <w:bottom w:w="80" w:type="dxa"/>
              <w:end w:w="120" w:type="dxa"/>
            </w:tcMar>
            <w:vAlign w:val="top"/>
          </w:tcPr>
          <w:p>
            <w:pPr>
              <w:pStyle w:val="TableBody"/>
            </w:pPr>
            <w:r>
              <w:rPr>
                <w:rFonts w:ascii="Calibri" w:hAnsi="Calibri" w:eastAsia="Calibri"/>
                <w:b w:val="0"/>
                <w:color w:val="222222"/>
                <w:sz w:val="18"/>
              </w:rPr>
              <w:t>HRM field</w:t>
            </w:r>
          </w:p>
        </w:tc>
        <w:tc>
          <w:tcPr>
            <w:tcW w:type="dxa" w:w="1050"/>
            <w:tcMar>
              <w:top w:w="80" w:type="dxa"/>
              <w:start w:w="120" w:type="dxa"/>
              <w:bottom w:w="80" w:type="dxa"/>
              <w:end w:w="120" w:type="dxa"/>
            </w:tcMar>
            <w:vAlign w:val="top"/>
          </w:tcPr>
          <w:p>
            <w:pPr>
              <w:pStyle w:val="TableBody"/>
            </w:pPr>
            <w:r>
              <w:rPr>
                <w:rFonts w:ascii="Calibri" w:hAnsi="Calibri" w:eastAsia="Calibri"/>
                <w:b w:val="0"/>
                <w:color w:val="222222"/>
                <w:sz w:val="18"/>
              </w:rPr>
              <w:t>0.975</w:t>
            </w:r>
          </w:p>
        </w:tc>
        <w:tc>
          <w:tcPr>
            <w:tcW w:type="dxa" w:w="1500"/>
            <w:tcMar>
              <w:top w:w="80" w:type="dxa"/>
              <w:start w:w="120" w:type="dxa"/>
              <w:bottom w:w="80" w:type="dxa"/>
              <w:end w:w="120" w:type="dxa"/>
            </w:tcMar>
            <w:vAlign w:val="top"/>
          </w:tcPr>
          <w:p>
            <w:pPr>
              <w:pStyle w:val="TableBody"/>
            </w:pPr>
            <w:r>
              <w:rPr>
                <w:rFonts w:ascii="Calibri" w:hAnsi="Calibri" w:eastAsia="Calibri"/>
                <w:b w:val="0"/>
                <w:color w:val="222222"/>
                <w:sz w:val="18"/>
              </w:rPr>
              <w:t>+0.350</w:t>
            </w:r>
          </w:p>
        </w:tc>
        <w:tc>
          <w:tcPr>
            <w:tcW w:type="dxa" w:w="2050"/>
            <w:tcMar>
              <w:top w:w="80" w:type="dxa"/>
              <w:start w:w="120" w:type="dxa"/>
              <w:bottom w:w="80" w:type="dxa"/>
              <w:end w:w="120" w:type="dxa"/>
            </w:tcMar>
            <w:vAlign w:val="top"/>
          </w:tcPr>
          <w:p>
            <w:pPr>
              <w:pStyle w:val="TableBody"/>
            </w:pPr>
            <w:r>
              <w:rPr>
                <w:rFonts w:ascii="Calibri" w:hAnsi="Calibri" w:eastAsia="Calibri"/>
                <w:b w:val="0"/>
                <w:color w:val="222222"/>
                <w:sz w:val="18"/>
              </w:rPr>
              <w:t>-42.375</w:t>
            </w:r>
          </w:p>
        </w:tc>
        <w:tc>
          <w:tcPr>
            <w:tcW w:type="dxa" w:w="2310"/>
            <w:tcMar>
              <w:top w:w="80" w:type="dxa"/>
              <w:start w:w="120" w:type="dxa"/>
              <w:bottom w:w="80" w:type="dxa"/>
              <w:end w:w="120" w:type="dxa"/>
            </w:tcMar>
            <w:vAlign w:val="top"/>
          </w:tcPr>
          <w:p>
            <w:pPr>
              <w:pStyle w:val="TableBody"/>
            </w:pPr>
            <w:r>
              <w:rPr>
                <w:rFonts w:ascii="Calibri" w:hAnsi="Calibri" w:eastAsia="Calibri"/>
                <w:b w:val="0"/>
                <w:color w:val="222222"/>
                <w:sz w:val="18"/>
              </w:rPr>
              <w:t>0.952</w:t>
            </w:r>
          </w:p>
        </w:tc>
      </w:tr>
      <w:tr>
        <w:trPr>
          <w:cantSplit/>
          <w:cantSplit/>
        </w:trPr>
        <w:tc>
          <w:tcPr>
            <w:tcW w:type="dxa" w:w="2450"/>
            <w:tcMar>
              <w:top w:w="80" w:type="dxa"/>
              <w:start w:w="120" w:type="dxa"/>
              <w:bottom w:w="80" w:type="dxa"/>
              <w:end w:w="120" w:type="dxa"/>
            </w:tcMar>
            <w:vAlign w:val="top"/>
          </w:tcPr>
          <w:p>
            <w:pPr>
              <w:pStyle w:val="TableBody"/>
            </w:pPr>
            <w:r>
              <w:rPr>
                <w:rFonts w:ascii="Calibri" w:hAnsi="Calibri" w:eastAsia="Calibri"/>
                <w:b w:val="0"/>
                <w:color w:val="222222"/>
                <w:sz w:val="18"/>
              </w:rPr>
              <w:t>U-Net field</w:t>
            </w:r>
          </w:p>
        </w:tc>
        <w:tc>
          <w:tcPr>
            <w:tcW w:type="dxa" w:w="1050"/>
            <w:tcMar>
              <w:top w:w="80" w:type="dxa"/>
              <w:start w:w="120" w:type="dxa"/>
              <w:bottom w:w="80" w:type="dxa"/>
              <w:end w:w="120" w:type="dxa"/>
            </w:tcMar>
            <w:vAlign w:val="top"/>
          </w:tcPr>
          <w:p>
            <w:pPr>
              <w:pStyle w:val="TableBody"/>
            </w:pPr>
            <w:r>
              <w:rPr>
                <w:rFonts w:ascii="Calibri" w:hAnsi="Calibri" w:eastAsia="Calibri"/>
                <w:b w:val="0"/>
                <w:color w:val="222222"/>
                <w:sz w:val="18"/>
              </w:rPr>
              <w:t>0.950</w:t>
            </w:r>
          </w:p>
        </w:tc>
        <w:tc>
          <w:tcPr>
            <w:tcW w:type="dxa" w:w="1500"/>
            <w:tcMar>
              <w:top w:w="80" w:type="dxa"/>
              <w:start w:w="120" w:type="dxa"/>
              <w:bottom w:w="80" w:type="dxa"/>
              <w:end w:w="120" w:type="dxa"/>
            </w:tcMar>
            <w:vAlign w:val="top"/>
          </w:tcPr>
          <w:p>
            <w:pPr>
              <w:pStyle w:val="TableBody"/>
            </w:pPr>
            <w:r>
              <w:rPr>
                <w:rFonts w:ascii="Calibri" w:hAnsi="Calibri" w:eastAsia="Calibri"/>
                <w:b w:val="0"/>
                <w:color w:val="222222"/>
                <w:sz w:val="18"/>
              </w:rPr>
              <w:t>+0.325</w:t>
            </w:r>
          </w:p>
        </w:tc>
        <w:tc>
          <w:tcPr>
            <w:tcW w:type="dxa" w:w="2050"/>
            <w:tcMar>
              <w:top w:w="80" w:type="dxa"/>
              <w:start w:w="120" w:type="dxa"/>
              <w:bottom w:w="80" w:type="dxa"/>
              <w:end w:w="120" w:type="dxa"/>
            </w:tcMar>
            <w:vAlign w:val="top"/>
          </w:tcPr>
          <w:p>
            <w:pPr>
              <w:pStyle w:val="TableBody"/>
            </w:pPr>
            <w:r>
              <w:rPr>
                <w:rFonts w:ascii="Calibri" w:hAnsi="Calibri" w:eastAsia="Calibri"/>
                <w:b w:val="0"/>
                <w:color w:val="222222"/>
                <w:sz w:val="18"/>
              </w:rPr>
              <w:t>-38.050</w:t>
            </w:r>
          </w:p>
        </w:tc>
        <w:tc>
          <w:tcPr>
            <w:tcW w:type="dxa" w:w="2310"/>
            <w:tcMar>
              <w:top w:w="80" w:type="dxa"/>
              <w:start w:w="120" w:type="dxa"/>
              <w:bottom w:w="80" w:type="dxa"/>
              <w:end w:w="120" w:type="dxa"/>
            </w:tcMar>
            <w:vAlign w:val="top"/>
          </w:tcPr>
          <w:p>
            <w:pPr>
              <w:pStyle w:val="TableBody"/>
            </w:pPr>
            <w:r>
              <w:rPr>
                <w:rFonts w:ascii="Calibri" w:hAnsi="Calibri" w:eastAsia="Calibri"/>
                <w:b w:val="0"/>
                <w:color w:val="222222"/>
                <w:sz w:val="18"/>
              </w:rPr>
              <w:t>0.968</w:t>
            </w:r>
          </w:p>
        </w:tc>
      </w:tr>
      <w:tr>
        <w:trPr>
          <w:cantSplit/>
          <w:cantSplit/>
        </w:trPr>
        <w:tc>
          <w:tcPr>
            <w:tcW w:type="dxa" w:w="2450"/>
            <w:tcMar>
              <w:top w:w="80" w:type="dxa"/>
              <w:start w:w="120" w:type="dxa"/>
              <w:bottom w:w="80" w:type="dxa"/>
              <w:end w:w="120" w:type="dxa"/>
            </w:tcMar>
            <w:vAlign w:val="top"/>
          </w:tcPr>
          <w:p>
            <w:pPr>
              <w:pStyle w:val="TableBody"/>
            </w:pPr>
            <w:r>
              <w:rPr>
                <w:rFonts w:ascii="Calibri" w:hAnsi="Calibri" w:eastAsia="Calibri"/>
                <w:b w:val="0"/>
                <w:color w:val="222222"/>
                <w:sz w:val="18"/>
              </w:rPr>
              <w:t>ON-LSTM field</w:t>
            </w:r>
          </w:p>
        </w:tc>
        <w:tc>
          <w:tcPr>
            <w:tcW w:type="dxa" w:w="1050"/>
            <w:tcMar>
              <w:top w:w="80" w:type="dxa"/>
              <w:start w:w="120" w:type="dxa"/>
              <w:bottom w:w="80" w:type="dxa"/>
              <w:end w:w="120" w:type="dxa"/>
            </w:tcMar>
            <w:vAlign w:val="top"/>
          </w:tcPr>
          <w:p>
            <w:pPr>
              <w:pStyle w:val="TableBody"/>
            </w:pPr>
            <w:r>
              <w:rPr>
                <w:rFonts w:ascii="Calibri" w:hAnsi="Calibri" w:eastAsia="Calibri"/>
                <w:b w:val="0"/>
                <w:color w:val="222222"/>
                <w:sz w:val="18"/>
              </w:rPr>
              <w:t>0.900</w:t>
            </w:r>
          </w:p>
        </w:tc>
        <w:tc>
          <w:tcPr>
            <w:tcW w:type="dxa" w:w="1500"/>
            <w:tcMar>
              <w:top w:w="80" w:type="dxa"/>
              <w:start w:w="120" w:type="dxa"/>
              <w:bottom w:w="80" w:type="dxa"/>
              <w:end w:w="120" w:type="dxa"/>
            </w:tcMar>
            <w:vAlign w:val="top"/>
          </w:tcPr>
          <w:p>
            <w:pPr>
              <w:pStyle w:val="TableBody"/>
            </w:pPr>
            <w:r>
              <w:rPr>
                <w:rFonts w:ascii="Calibri" w:hAnsi="Calibri" w:eastAsia="Calibri"/>
                <w:b w:val="0"/>
                <w:color w:val="222222"/>
                <w:sz w:val="18"/>
              </w:rPr>
              <w:t>+0.275</w:t>
            </w:r>
          </w:p>
        </w:tc>
        <w:tc>
          <w:tcPr>
            <w:tcW w:type="dxa" w:w="2050"/>
            <w:tcMar>
              <w:top w:w="80" w:type="dxa"/>
              <w:start w:w="120" w:type="dxa"/>
              <w:bottom w:w="80" w:type="dxa"/>
              <w:end w:w="120" w:type="dxa"/>
            </w:tcMar>
            <w:vAlign w:val="top"/>
          </w:tcPr>
          <w:p>
            <w:pPr>
              <w:pStyle w:val="TableBody"/>
            </w:pPr>
            <w:r>
              <w:rPr>
                <w:rFonts w:ascii="Calibri" w:hAnsi="Calibri" w:eastAsia="Calibri"/>
                <w:b w:val="0"/>
                <w:color w:val="222222"/>
                <w:sz w:val="18"/>
              </w:rPr>
              <w:t>-31.475</w:t>
            </w:r>
          </w:p>
        </w:tc>
        <w:tc>
          <w:tcPr>
            <w:tcW w:type="dxa" w:w="2310"/>
            <w:tcMar>
              <w:top w:w="80" w:type="dxa"/>
              <w:start w:w="120" w:type="dxa"/>
              <w:bottom w:w="80" w:type="dxa"/>
              <w:end w:w="120" w:type="dxa"/>
            </w:tcMar>
            <w:vAlign w:val="top"/>
          </w:tcPr>
          <w:p>
            <w:pPr>
              <w:pStyle w:val="TableBody"/>
            </w:pPr>
            <w:r>
              <w:rPr>
                <w:rFonts w:ascii="Calibri" w:hAnsi="Calibri" w:eastAsia="Calibri"/>
                <w:b w:val="0"/>
                <w:color w:val="222222"/>
                <w:sz w:val="18"/>
              </w:rPr>
              <w:t>0.908</w:t>
            </w:r>
          </w:p>
        </w:tc>
      </w:tr>
      <w:tr>
        <w:trPr>
          <w:cantSplit/>
          <w:cantSplit/>
        </w:trPr>
        <w:tc>
          <w:tcPr>
            <w:tcW w:type="dxa" w:w="2450"/>
            <w:tcMar>
              <w:top w:w="80" w:type="dxa"/>
              <w:start w:w="120" w:type="dxa"/>
              <w:bottom w:w="80" w:type="dxa"/>
              <w:end w:w="120" w:type="dxa"/>
            </w:tcMar>
            <w:vAlign w:val="top"/>
          </w:tcPr>
          <w:p>
            <w:pPr>
              <w:pStyle w:val="TableBody"/>
            </w:pPr>
            <w:r>
              <w:rPr>
                <w:rFonts w:ascii="Calibri" w:hAnsi="Calibri" w:eastAsia="Calibri"/>
                <w:b w:val="0"/>
                <w:color w:val="222222"/>
                <w:sz w:val="18"/>
              </w:rPr>
              <w:t>Raster oracle</w:t>
            </w:r>
          </w:p>
        </w:tc>
        <w:tc>
          <w:tcPr>
            <w:tcW w:type="dxa" w:w="1050"/>
            <w:tcMar>
              <w:top w:w="80" w:type="dxa"/>
              <w:start w:w="120" w:type="dxa"/>
              <w:bottom w:w="80" w:type="dxa"/>
              <w:end w:w="120" w:type="dxa"/>
            </w:tcMar>
            <w:vAlign w:val="top"/>
          </w:tcPr>
          <w:p>
            <w:pPr>
              <w:pStyle w:val="TableBody"/>
            </w:pPr>
            <w:r>
              <w:rPr>
                <w:rFonts w:ascii="Calibri" w:hAnsi="Calibri" w:eastAsia="Calibri"/>
                <w:b w:val="0"/>
                <w:color w:val="222222"/>
                <w:sz w:val="18"/>
              </w:rPr>
              <w:t>0.950</w:t>
            </w:r>
          </w:p>
        </w:tc>
        <w:tc>
          <w:tcPr>
            <w:tcW w:type="dxa" w:w="1500"/>
            <w:tcMar>
              <w:top w:w="80" w:type="dxa"/>
              <w:start w:w="120" w:type="dxa"/>
              <w:bottom w:w="80" w:type="dxa"/>
              <w:end w:w="120" w:type="dxa"/>
            </w:tcMar>
            <w:vAlign w:val="top"/>
          </w:tcPr>
          <w:p>
            <w:pPr>
              <w:pStyle w:val="TableBody"/>
            </w:pPr>
            <w:r>
              <w:rPr>
                <w:rFonts w:ascii="Calibri" w:hAnsi="Calibri" w:eastAsia="Calibri"/>
                <w:b w:val="0"/>
                <w:color w:val="222222"/>
                <w:sz w:val="18"/>
              </w:rPr>
              <w:t>+0.325</w:t>
            </w:r>
          </w:p>
        </w:tc>
        <w:tc>
          <w:tcPr>
            <w:tcW w:type="dxa" w:w="2050"/>
            <w:tcMar>
              <w:top w:w="80" w:type="dxa"/>
              <w:start w:w="120" w:type="dxa"/>
              <w:bottom w:w="80" w:type="dxa"/>
              <w:end w:w="120" w:type="dxa"/>
            </w:tcMar>
            <w:vAlign w:val="top"/>
          </w:tcPr>
          <w:p>
            <w:pPr>
              <w:pStyle w:val="TableBody"/>
            </w:pPr>
            <w:r>
              <w:rPr>
                <w:rFonts w:ascii="Calibri" w:hAnsi="Calibri" w:eastAsia="Calibri"/>
                <w:b w:val="0"/>
                <w:color w:val="222222"/>
                <w:sz w:val="18"/>
              </w:rPr>
              <w:t>-45.325</w:t>
            </w:r>
          </w:p>
        </w:tc>
        <w:tc>
          <w:tcPr>
            <w:tcW w:type="dxa" w:w="2310"/>
            <w:tcMar>
              <w:top w:w="80" w:type="dxa"/>
              <w:start w:w="120" w:type="dxa"/>
              <w:bottom w:w="80" w:type="dxa"/>
              <w:end w:w="120" w:type="dxa"/>
            </w:tcMar>
            <w:vAlign w:val="top"/>
          </w:tcPr>
          <w:p>
            <w:pPr>
              <w:pStyle w:val="TableBody"/>
            </w:pPr>
            <w:r>
              <w:rPr>
                <w:rFonts w:ascii="Calibri" w:hAnsi="Calibri" w:eastAsia="Calibri"/>
                <w:b w:val="0"/>
                <w:color w:val="222222"/>
                <w:sz w:val="18"/>
              </w:rPr>
              <w:t>ceiling diagnostic</w:t>
            </w:r>
          </w:p>
        </w:tc>
      </w:tr>
    </w:tbl>
    <w:p>
      <w:pPr>
        <w:spacing w:after="20"/>
      </w:pPr>
    </w:p>
    <w:p>
      <w:pPr/>
      <w:r>
        <w:rPr>
          <w:b/>
          <w:color w:val="1F4D78"/>
        </w:rPr>
        <w:t xml:space="preserve">Result: </w:t>
      </w:r>
      <w:r>
        <w:t>HRM reversed the C5 failure: on the binding hard-maze cell it reached 0.975 success versus 0.625 for Euclid (p=0.000122, q=0.000338) and used 42 fewer expansions on average. Multi-suite training preserved maze 0.975, raised held-out dense maze from 0.825 to 1.000, and raised rooms from 0.700 to 0.875.</w:t>
      </w:r>
    </w:p>
    <w:p>
      <w:pPr/>
      <w:r>
        <w:rPr>
          <w:b/>
          <w:color w:val="1F4D78"/>
        </w:rPr>
        <w:t xml:space="preserve">Reasoning update: </w:t>
      </w:r>
      <w:r>
        <w:t>C6 showed that a spatial objective and adequate training can rescue HRM, but it did not prove that fields are intrinsically necessary. C7’s properly trained scalar arm later worked as well or better. The defensible claim is ‘field training rescued HRM in this setup,’ not ‘hierarchy needs heatmaps.’</w:t>
      </w:r>
    </w:p>
    <w:p>
      <w:pPr/>
      <w:r>
        <w:rPr>
          <w:b/>
          <w:color w:val="1F4D78"/>
        </w:rPr>
        <w:t xml:space="preserve">Limitations: </w:t>
      </w:r>
      <w:r>
        <w:t>Local RTX 5090, one primary training seed, n=40 evaluation worlds, approximate—not exact—raster oracle, and an unresolved U-Net skip-shape bug at grid size 56 (48/64 are safe).</w:t>
      </w:r>
    </w:p>
    <w:p>
      <w:pPr>
        <w:pStyle w:val="Heading1"/>
      </w:pPr>
      <w:r>
        <w:t>4. C7 — static integration comparison</w:t>
      </w:r>
    </w:p>
    <w:p>
      <w:pPr/>
      <w:r>
        <w:rPr>
          <w:b/>
          <w:color w:val="1F4D78"/>
        </w:rPr>
        <w:t xml:space="preserve">Why we did it: </w:t>
      </w:r>
      <w:r>
        <w:t>C6 mixed several explanations: representation, optimization, architecture, and planner integration. C7 held worlds and PRMs fixed while crossing scalar versus field prediction with additive versus focal integration and multiple backbones.</w:t>
      </w:r>
    </w:p>
    <w:p>
      <w:pPr/>
      <w:r>
        <w:rPr>
          <w:b/>
          <w:color w:val="1F4D78"/>
        </w:rPr>
        <w:t xml:space="preserve">Methodology: </w:t>
      </w:r>
      <w:r>
        <w:t>Train on hard maze, rooms, and spiral; hold out dense maze (near OOD), bugtrap (structural OOD), and rooms-large (scale OOD). Compare Euclid, scalar HRM/ON-LSTM, field HRM/ON-LSTM/U-Net, focal variants, and exact graph-Dijkstra. Use 96 training worlds/suite, 24 evaluation worlds/suite, 16 epochs, PRM 192/k7, per-suite calibrated binding budgets, paired solved-world expansion ratios with seeded bootstrap CIs, Wilcoxon diagnostics, McNemar+BH for success, and path suboptimality.</w:t>
      </w:r>
    </w:p>
    <w:tbl>
      <w:tblPr>
        <w:tblW w:type="dxa" w:w="9360"/>
        <w:tblLayout w:type="fixed"/>
        <w:tblLook w:firstColumn="1" w:firstRow="1" w:lastColumn="0" w:lastRow="0" w:noHBand="0" w:noVBand="1" w:val="04A0"/>
        <w:jc w:val="left"/>
        <w:tblInd w:w="120" w:type="dxa"/>
        <w:tblBorders>
          <w:top w:val="single" w:sz="4" w:space="0" w:color="C9D2DD"/>
          <w:left w:val="single" w:sz="4" w:space="0" w:color="C9D2DD"/>
          <w:bottom w:val="single" w:sz="4" w:space="0" w:color="C9D2DD"/>
          <w:right w:val="single" w:sz="4" w:space="0" w:color="C9D2DD"/>
          <w:insideH w:val="single" w:sz="4" w:space="0" w:color="C9D2DD"/>
          <w:insideV w:val="single" w:sz="4" w:space="0" w:color="C9D2DD"/>
        </w:tblBorders>
      </w:tblPr>
      <w:tblGrid>
        <w:gridCol w:w="1650"/>
        <w:gridCol w:w="1450"/>
        <w:gridCol w:w="1650"/>
        <w:gridCol w:w="3220"/>
        <w:gridCol w:w="1390"/>
      </w:tblGrid>
      <w:tr>
        <w:trPr>
          <w:cantSplit/>
          <w:tblHeader w:val="true"/>
          <w:cantSplit/>
        </w:trPr>
        <w:tc>
          <w:tcPr>
            <w:tcW w:type="dxa" w:w="165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Suite</w:t>
            </w:r>
          </w:p>
        </w:tc>
        <w:tc>
          <w:tcPr>
            <w:tcW w:type="dxa" w:w="145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Euclid success</w:t>
            </w:r>
          </w:p>
        </w:tc>
        <w:tc>
          <w:tcPr>
            <w:tcW w:type="dxa" w:w="165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Field-HRM success</w:t>
            </w:r>
          </w:p>
        </w:tc>
        <w:tc>
          <w:tcPr>
            <w:tcW w:type="dxa" w:w="322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Median expansion ratio [95% CI]</w:t>
            </w:r>
          </w:p>
        </w:tc>
        <w:tc>
          <w:tcPr>
            <w:tcW w:type="dxa" w:w="139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Matched n</w:t>
            </w:r>
          </w:p>
        </w:tc>
      </w:tr>
      <w:tr>
        <w:trPr>
          <w:cantSplit/>
          <w:cantSplit/>
        </w:trPr>
        <w:tc>
          <w:tcPr>
            <w:tcW w:type="dxa" w:w="1650"/>
            <w:tcMar>
              <w:top w:w="80" w:type="dxa"/>
              <w:start w:w="120" w:type="dxa"/>
              <w:bottom w:w="80" w:type="dxa"/>
              <w:end w:w="120" w:type="dxa"/>
            </w:tcMar>
            <w:vAlign w:val="top"/>
          </w:tcPr>
          <w:p>
            <w:pPr>
              <w:pStyle w:val="TableBody"/>
            </w:pPr>
            <w:r>
              <w:rPr>
                <w:rFonts w:ascii="Calibri" w:hAnsi="Calibri" w:eastAsia="Calibri"/>
                <w:b w:val="0"/>
                <w:color w:val="222222"/>
                <w:sz w:val="18"/>
              </w:rPr>
              <w:t>Maze</w:t>
            </w:r>
          </w:p>
        </w:tc>
        <w:tc>
          <w:tcPr>
            <w:tcW w:type="dxa" w:w="1450"/>
            <w:tcMar>
              <w:top w:w="80" w:type="dxa"/>
              <w:start w:w="120" w:type="dxa"/>
              <w:bottom w:w="80" w:type="dxa"/>
              <w:end w:w="120" w:type="dxa"/>
            </w:tcMar>
            <w:vAlign w:val="top"/>
          </w:tcPr>
          <w:p>
            <w:pPr>
              <w:pStyle w:val="TableBody"/>
            </w:pPr>
            <w:r>
              <w:rPr>
                <w:rFonts w:ascii="Calibri" w:hAnsi="Calibri" w:eastAsia="Calibri"/>
                <w:b w:val="0"/>
                <w:color w:val="222222"/>
                <w:sz w:val="18"/>
              </w:rPr>
              <w:t>0.583</w:t>
            </w:r>
          </w:p>
        </w:tc>
        <w:tc>
          <w:tcPr>
            <w:tcW w:type="dxa" w:w="1650"/>
            <w:tcMar>
              <w:top w:w="80" w:type="dxa"/>
              <w:start w:w="120" w:type="dxa"/>
              <w:bottom w:w="80" w:type="dxa"/>
              <w:end w:w="120" w:type="dxa"/>
            </w:tcMar>
            <w:vAlign w:val="top"/>
          </w:tcPr>
          <w:p>
            <w:pPr>
              <w:pStyle w:val="TableBody"/>
            </w:pPr>
            <w:r>
              <w:rPr>
                <w:rFonts w:ascii="Calibri" w:hAnsi="Calibri" w:eastAsia="Calibri"/>
                <w:b w:val="0"/>
                <w:color w:val="222222"/>
                <w:sz w:val="18"/>
              </w:rPr>
              <w:t>1.000</w:t>
            </w:r>
          </w:p>
        </w:tc>
        <w:tc>
          <w:tcPr>
            <w:tcW w:type="dxa" w:w="3220"/>
            <w:tcMar>
              <w:top w:w="80" w:type="dxa"/>
              <w:start w:w="120" w:type="dxa"/>
              <w:bottom w:w="80" w:type="dxa"/>
              <w:end w:w="120" w:type="dxa"/>
            </w:tcMar>
            <w:vAlign w:val="top"/>
          </w:tcPr>
          <w:p>
            <w:pPr>
              <w:pStyle w:val="TableBody"/>
            </w:pPr>
            <w:r>
              <w:rPr>
                <w:rFonts w:ascii="Calibri" w:hAnsi="Calibri" w:eastAsia="Calibri"/>
                <w:b w:val="0"/>
                <w:color w:val="222222"/>
                <w:sz w:val="18"/>
              </w:rPr>
              <w:t>0.521 [0.450, 0.627]</w:t>
            </w:r>
          </w:p>
        </w:tc>
        <w:tc>
          <w:tcPr>
            <w:tcW w:type="dxa" w:w="1390"/>
            <w:tcMar>
              <w:top w:w="80" w:type="dxa"/>
              <w:start w:w="120" w:type="dxa"/>
              <w:bottom w:w="80" w:type="dxa"/>
              <w:end w:w="120" w:type="dxa"/>
            </w:tcMar>
            <w:vAlign w:val="top"/>
          </w:tcPr>
          <w:p>
            <w:pPr>
              <w:pStyle w:val="TableBody"/>
            </w:pPr>
            <w:r>
              <w:rPr>
                <w:rFonts w:ascii="Calibri" w:hAnsi="Calibri" w:eastAsia="Calibri"/>
                <w:b w:val="0"/>
                <w:color w:val="222222"/>
                <w:sz w:val="18"/>
              </w:rPr>
              <w:t>14</w:t>
            </w:r>
          </w:p>
        </w:tc>
      </w:tr>
      <w:tr>
        <w:trPr>
          <w:cantSplit/>
          <w:cantSplit/>
        </w:trPr>
        <w:tc>
          <w:tcPr>
            <w:tcW w:type="dxa" w:w="1650"/>
            <w:tcMar>
              <w:top w:w="80" w:type="dxa"/>
              <w:start w:w="120" w:type="dxa"/>
              <w:bottom w:w="80" w:type="dxa"/>
              <w:end w:w="120" w:type="dxa"/>
            </w:tcMar>
            <w:vAlign w:val="top"/>
          </w:tcPr>
          <w:p>
            <w:pPr>
              <w:pStyle w:val="TableBody"/>
            </w:pPr>
            <w:r>
              <w:rPr>
                <w:rFonts w:ascii="Calibri" w:hAnsi="Calibri" w:eastAsia="Calibri"/>
                <w:b w:val="0"/>
                <w:color w:val="222222"/>
                <w:sz w:val="18"/>
              </w:rPr>
              <w:t>Maze-dense</w:t>
            </w:r>
          </w:p>
        </w:tc>
        <w:tc>
          <w:tcPr>
            <w:tcW w:type="dxa" w:w="1450"/>
            <w:tcMar>
              <w:top w:w="80" w:type="dxa"/>
              <w:start w:w="120" w:type="dxa"/>
              <w:bottom w:w="80" w:type="dxa"/>
              <w:end w:w="120" w:type="dxa"/>
            </w:tcMar>
            <w:vAlign w:val="top"/>
          </w:tcPr>
          <w:p>
            <w:pPr>
              <w:pStyle w:val="TableBody"/>
            </w:pPr>
            <w:r>
              <w:rPr>
                <w:rFonts w:ascii="Calibri" w:hAnsi="Calibri" w:eastAsia="Calibri"/>
                <w:b w:val="0"/>
                <w:color w:val="222222"/>
                <w:sz w:val="18"/>
              </w:rPr>
              <w:t>0.250</w:t>
            </w:r>
          </w:p>
        </w:tc>
        <w:tc>
          <w:tcPr>
            <w:tcW w:type="dxa" w:w="1650"/>
            <w:tcMar>
              <w:top w:w="80" w:type="dxa"/>
              <w:start w:w="120" w:type="dxa"/>
              <w:bottom w:w="80" w:type="dxa"/>
              <w:end w:w="120" w:type="dxa"/>
            </w:tcMar>
            <w:vAlign w:val="top"/>
          </w:tcPr>
          <w:p>
            <w:pPr>
              <w:pStyle w:val="TableBody"/>
            </w:pPr>
            <w:r>
              <w:rPr>
                <w:rFonts w:ascii="Calibri" w:hAnsi="Calibri" w:eastAsia="Calibri"/>
                <w:b w:val="0"/>
                <w:color w:val="222222"/>
                <w:sz w:val="18"/>
              </w:rPr>
              <w:t>0.958</w:t>
            </w:r>
          </w:p>
        </w:tc>
        <w:tc>
          <w:tcPr>
            <w:tcW w:type="dxa" w:w="3220"/>
            <w:tcMar>
              <w:top w:w="80" w:type="dxa"/>
              <w:start w:w="120" w:type="dxa"/>
              <w:bottom w:w="80" w:type="dxa"/>
              <w:end w:w="120" w:type="dxa"/>
            </w:tcMar>
            <w:vAlign w:val="top"/>
          </w:tcPr>
          <w:p>
            <w:pPr>
              <w:pStyle w:val="TableBody"/>
            </w:pPr>
            <w:r>
              <w:rPr>
                <w:rFonts w:ascii="Calibri" w:hAnsi="Calibri" w:eastAsia="Calibri"/>
                <w:b w:val="0"/>
                <w:color w:val="222222"/>
                <w:sz w:val="18"/>
              </w:rPr>
              <w:t>0.804 [0.707, 0.829]</w:t>
            </w:r>
          </w:p>
        </w:tc>
        <w:tc>
          <w:tcPr>
            <w:tcW w:type="dxa" w:w="1390"/>
            <w:tcMar>
              <w:top w:w="80" w:type="dxa"/>
              <w:start w:w="120" w:type="dxa"/>
              <w:bottom w:w="80" w:type="dxa"/>
              <w:end w:w="120" w:type="dxa"/>
            </w:tcMar>
            <w:vAlign w:val="top"/>
          </w:tcPr>
          <w:p>
            <w:pPr>
              <w:pStyle w:val="TableBody"/>
            </w:pPr>
            <w:r>
              <w:rPr>
                <w:rFonts w:ascii="Calibri" w:hAnsi="Calibri" w:eastAsia="Calibri"/>
                <w:b w:val="0"/>
                <w:color w:val="222222"/>
                <w:sz w:val="18"/>
              </w:rPr>
              <w:t>6</w:t>
            </w:r>
          </w:p>
        </w:tc>
      </w:tr>
      <w:tr>
        <w:trPr>
          <w:cantSplit/>
          <w:cantSplit/>
        </w:trPr>
        <w:tc>
          <w:tcPr>
            <w:tcW w:type="dxa" w:w="1650"/>
            <w:tcMar>
              <w:top w:w="80" w:type="dxa"/>
              <w:start w:w="120" w:type="dxa"/>
              <w:bottom w:w="80" w:type="dxa"/>
              <w:end w:w="120" w:type="dxa"/>
            </w:tcMar>
            <w:vAlign w:val="top"/>
          </w:tcPr>
          <w:p>
            <w:pPr>
              <w:pStyle w:val="TableBody"/>
            </w:pPr>
            <w:r>
              <w:rPr>
                <w:rFonts w:ascii="Calibri" w:hAnsi="Calibri" w:eastAsia="Calibri"/>
                <w:b w:val="0"/>
                <w:color w:val="222222"/>
                <w:sz w:val="18"/>
              </w:rPr>
              <w:t>Rooms</w:t>
            </w:r>
          </w:p>
        </w:tc>
        <w:tc>
          <w:tcPr>
            <w:tcW w:type="dxa" w:w="1450"/>
            <w:tcMar>
              <w:top w:w="80" w:type="dxa"/>
              <w:start w:w="120" w:type="dxa"/>
              <w:bottom w:w="80" w:type="dxa"/>
              <w:end w:w="120" w:type="dxa"/>
            </w:tcMar>
            <w:vAlign w:val="top"/>
          </w:tcPr>
          <w:p>
            <w:pPr>
              <w:pStyle w:val="TableBody"/>
            </w:pPr>
            <w:r>
              <w:rPr>
                <w:rFonts w:ascii="Calibri" w:hAnsi="Calibri" w:eastAsia="Calibri"/>
                <w:b w:val="0"/>
                <w:color w:val="222222"/>
                <w:sz w:val="18"/>
              </w:rPr>
              <w:t>0.375</w:t>
            </w:r>
          </w:p>
        </w:tc>
        <w:tc>
          <w:tcPr>
            <w:tcW w:type="dxa" w:w="1650"/>
            <w:tcMar>
              <w:top w:w="80" w:type="dxa"/>
              <w:start w:w="120" w:type="dxa"/>
              <w:bottom w:w="80" w:type="dxa"/>
              <w:end w:w="120" w:type="dxa"/>
            </w:tcMar>
            <w:vAlign w:val="top"/>
          </w:tcPr>
          <w:p>
            <w:pPr>
              <w:pStyle w:val="TableBody"/>
            </w:pPr>
            <w:r>
              <w:rPr>
                <w:rFonts w:ascii="Calibri" w:hAnsi="Calibri" w:eastAsia="Calibri"/>
                <w:b w:val="0"/>
                <w:color w:val="222222"/>
                <w:sz w:val="18"/>
              </w:rPr>
              <w:t>0.958</w:t>
            </w:r>
          </w:p>
        </w:tc>
        <w:tc>
          <w:tcPr>
            <w:tcW w:type="dxa" w:w="3220"/>
            <w:tcMar>
              <w:top w:w="80" w:type="dxa"/>
              <w:start w:w="120" w:type="dxa"/>
              <w:bottom w:w="80" w:type="dxa"/>
              <w:end w:w="120" w:type="dxa"/>
            </w:tcMar>
            <w:vAlign w:val="top"/>
          </w:tcPr>
          <w:p>
            <w:pPr>
              <w:pStyle w:val="TableBody"/>
            </w:pPr>
            <w:r>
              <w:rPr>
                <w:rFonts w:ascii="Calibri" w:hAnsi="Calibri" w:eastAsia="Calibri"/>
                <w:b w:val="0"/>
                <w:color w:val="222222"/>
                <w:sz w:val="18"/>
              </w:rPr>
              <w:t>0.829 [0.775, 0.885]</w:t>
            </w:r>
          </w:p>
        </w:tc>
        <w:tc>
          <w:tcPr>
            <w:tcW w:type="dxa" w:w="1390"/>
            <w:tcMar>
              <w:top w:w="80" w:type="dxa"/>
              <w:start w:w="120" w:type="dxa"/>
              <w:bottom w:w="80" w:type="dxa"/>
              <w:end w:w="120" w:type="dxa"/>
            </w:tcMar>
            <w:vAlign w:val="top"/>
          </w:tcPr>
          <w:p>
            <w:pPr>
              <w:pStyle w:val="TableBody"/>
            </w:pPr>
            <w:r>
              <w:rPr>
                <w:rFonts w:ascii="Calibri" w:hAnsi="Calibri" w:eastAsia="Calibri"/>
                <w:b w:val="0"/>
                <w:color w:val="222222"/>
                <w:sz w:val="18"/>
              </w:rPr>
              <w:t>9</w:t>
            </w:r>
          </w:p>
        </w:tc>
      </w:tr>
      <w:tr>
        <w:trPr>
          <w:cantSplit/>
          <w:cantSplit/>
        </w:trPr>
        <w:tc>
          <w:tcPr>
            <w:tcW w:type="dxa" w:w="1650"/>
            <w:tcMar>
              <w:top w:w="80" w:type="dxa"/>
              <w:start w:w="120" w:type="dxa"/>
              <w:bottom w:w="80" w:type="dxa"/>
              <w:end w:w="120" w:type="dxa"/>
            </w:tcMar>
            <w:vAlign w:val="top"/>
          </w:tcPr>
          <w:p>
            <w:pPr>
              <w:pStyle w:val="TableBody"/>
            </w:pPr>
            <w:r>
              <w:rPr>
                <w:rFonts w:ascii="Calibri" w:hAnsi="Calibri" w:eastAsia="Calibri"/>
                <w:b w:val="0"/>
                <w:color w:val="222222"/>
                <w:sz w:val="18"/>
              </w:rPr>
              <w:t>Spiral</w:t>
            </w:r>
          </w:p>
        </w:tc>
        <w:tc>
          <w:tcPr>
            <w:tcW w:type="dxa" w:w="1450"/>
            <w:tcMar>
              <w:top w:w="80" w:type="dxa"/>
              <w:start w:w="120" w:type="dxa"/>
              <w:bottom w:w="80" w:type="dxa"/>
              <w:end w:w="120" w:type="dxa"/>
            </w:tcMar>
            <w:vAlign w:val="top"/>
          </w:tcPr>
          <w:p>
            <w:pPr>
              <w:pStyle w:val="TableBody"/>
            </w:pPr>
            <w:r>
              <w:rPr>
                <w:rFonts w:ascii="Calibri" w:hAnsi="Calibri" w:eastAsia="Calibri"/>
                <w:b w:val="0"/>
                <w:color w:val="222222"/>
                <w:sz w:val="18"/>
              </w:rPr>
              <w:t>0.250</w:t>
            </w:r>
          </w:p>
        </w:tc>
        <w:tc>
          <w:tcPr>
            <w:tcW w:type="dxa" w:w="1650"/>
            <w:tcMar>
              <w:top w:w="80" w:type="dxa"/>
              <w:start w:w="120" w:type="dxa"/>
              <w:bottom w:w="80" w:type="dxa"/>
              <w:end w:w="120" w:type="dxa"/>
            </w:tcMar>
            <w:vAlign w:val="top"/>
          </w:tcPr>
          <w:p>
            <w:pPr>
              <w:pStyle w:val="TableBody"/>
            </w:pPr>
            <w:r>
              <w:rPr>
                <w:rFonts w:ascii="Calibri" w:hAnsi="Calibri" w:eastAsia="Calibri"/>
                <w:b w:val="0"/>
                <w:color w:val="222222"/>
                <w:sz w:val="18"/>
              </w:rPr>
              <w:t>0.917</w:t>
            </w:r>
          </w:p>
        </w:tc>
        <w:tc>
          <w:tcPr>
            <w:tcW w:type="dxa" w:w="3220"/>
            <w:tcMar>
              <w:top w:w="80" w:type="dxa"/>
              <w:start w:w="120" w:type="dxa"/>
              <w:bottom w:w="80" w:type="dxa"/>
              <w:end w:w="120" w:type="dxa"/>
            </w:tcMar>
            <w:vAlign w:val="top"/>
          </w:tcPr>
          <w:p>
            <w:pPr>
              <w:pStyle w:val="TableBody"/>
            </w:pPr>
            <w:r>
              <w:rPr>
                <w:rFonts w:ascii="Calibri" w:hAnsi="Calibri" w:eastAsia="Calibri"/>
                <w:b w:val="0"/>
                <w:color w:val="222222"/>
                <w:sz w:val="18"/>
              </w:rPr>
              <w:t>0.850 [0.742, 0.919]</w:t>
            </w:r>
          </w:p>
        </w:tc>
        <w:tc>
          <w:tcPr>
            <w:tcW w:type="dxa" w:w="1390"/>
            <w:tcMar>
              <w:top w:w="80" w:type="dxa"/>
              <w:start w:w="120" w:type="dxa"/>
              <w:bottom w:w="80" w:type="dxa"/>
              <w:end w:w="120" w:type="dxa"/>
            </w:tcMar>
            <w:vAlign w:val="top"/>
          </w:tcPr>
          <w:p>
            <w:pPr>
              <w:pStyle w:val="TableBody"/>
            </w:pPr>
            <w:r>
              <w:rPr>
                <w:rFonts w:ascii="Calibri" w:hAnsi="Calibri" w:eastAsia="Calibri"/>
                <w:b w:val="0"/>
                <w:color w:val="222222"/>
                <w:sz w:val="18"/>
              </w:rPr>
              <w:t>6</w:t>
            </w:r>
          </w:p>
        </w:tc>
      </w:tr>
      <w:tr>
        <w:trPr>
          <w:cantSplit/>
          <w:cantSplit/>
        </w:trPr>
        <w:tc>
          <w:tcPr>
            <w:tcW w:type="dxa" w:w="1650"/>
            <w:tcMar>
              <w:top w:w="80" w:type="dxa"/>
              <w:start w:w="120" w:type="dxa"/>
              <w:bottom w:w="80" w:type="dxa"/>
              <w:end w:w="120" w:type="dxa"/>
            </w:tcMar>
            <w:vAlign w:val="top"/>
          </w:tcPr>
          <w:p>
            <w:pPr>
              <w:pStyle w:val="TableBody"/>
            </w:pPr>
            <w:r>
              <w:rPr>
                <w:rFonts w:ascii="Calibri" w:hAnsi="Calibri" w:eastAsia="Calibri"/>
                <w:b w:val="0"/>
                <w:color w:val="222222"/>
                <w:sz w:val="18"/>
              </w:rPr>
              <w:t>Bugtrap</w:t>
            </w:r>
          </w:p>
        </w:tc>
        <w:tc>
          <w:tcPr>
            <w:tcW w:type="dxa" w:w="1450"/>
            <w:tcMar>
              <w:top w:w="80" w:type="dxa"/>
              <w:start w:w="120" w:type="dxa"/>
              <w:bottom w:w="80" w:type="dxa"/>
              <w:end w:w="120" w:type="dxa"/>
            </w:tcMar>
            <w:vAlign w:val="top"/>
          </w:tcPr>
          <w:p>
            <w:pPr>
              <w:pStyle w:val="TableBody"/>
            </w:pPr>
            <w:r>
              <w:rPr>
                <w:rFonts w:ascii="Calibri" w:hAnsi="Calibri" w:eastAsia="Calibri"/>
                <w:b w:val="0"/>
                <w:color w:val="222222"/>
                <w:sz w:val="18"/>
              </w:rPr>
              <w:t>0.458</w:t>
            </w:r>
          </w:p>
        </w:tc>
        <w:tc>
          <w:tcPr>
            <w:tcW w:type="dxa" w:w="1650"/>
            <w:tcMar>
              <w:top w:w="80" w:type="dxa"/>
              <w:start w:w="120" w:type="dxa"/>
              <w:bottom w:w="80" w:type="dxa"/>
              <w:end w:w="120" w:type="dxa"/>
            </w:tcMar>
            <w:vAlign w:val="top"/>
          </w:tcPr>
          <w:p>
            <w:pPr>
              <w:pStyle w:val="TableBody"/>
            </w:pPr>
            <w:r>
              <w:rPr>
                <w:rFonts w:ascii="Calibri" w:hAnsi="Calibri" w:eastAsia="Calibri"/>
                <w:b w:val="0"/>
                <w:color w:val="222222"/>
                <w:sz w:val="18"/>
              </w:rPr>
              <w:t>0.750</w:t>
            </w:r>
          </w:p>
        </w:tc>
        <w:tc>
          <w:tcPr>
            <w:tcW w:type="dxa" w:w="3220"/>
            <w:tcMar>
              <w:top w:w="80" w:type="dxa"/>
              <w:start w:w="120" w:type="dxa"/>
              <w:bottom w:w="80" w:type="dxa"/>
              <w:end w:w="120" w:type="dxa"/>
            </w:tcMar>
            <w:vAlign w:val="top"/>
          </w:tcPr>
          <w:p>
            <w:pPr>
              <w:pStyle w:val="TableBody"/>
            </w:pPr>
            <w:r>
              <w:rPr>
                <w:rFonts w:ascii="Calibri" w:hAnsi="Calibri" w:eastAsia="Calibri"/>
                <w:b w:val="0"/>
                <w:color w:val="222222"/>
                <w:sz w:val="18"/>
              </w:rPr>
              <w:t>0.714 [0.533, 0.800]</w:t>
            </w:r>
          </w:p>
        </w:tc>
        <w:tc>
          <w:tcPr>
            <w:tcW w:type="dxa" w:w="1390"/>
            <w:tcMar>
              <w:top w:w="80" w:type="dxa"/>
              <w:start w:w="120" w:type="dxa"/>
              <w:bottom w:w="80" w:type="dxa"/>
              <w:end w:w="120" w:type="dxa"/>
            </w:tcMar>
            <w:vAlign w:val="top"/>
          </w:tcPr>
          <w:p>
            <w:pPr>
              <w:pStyle w:val="TableBody"/>
            </w:pPr>
            <w:r>
              <w:rPr>
                <w:rFonts w:ascii="Calibri" w:hAnsi="Calibri" w:eastAsia="Calibri"/>
                <w:b w:val="0"/>
                <w:color w:val="222222"/>
                <w:sz w:val="18"/>
              </w:rPr>
              <w:t>11</w:t>
            </w:r>
          </w:p>
        </w:tc>
      </w:tr>
      <w:tr>
        <w:trPr>
          <w:cantSplit/>
          <w:cantSplit/>
        </w:trPr>
        <w:tc>
          <w:tcPr>
            <w:tcW w:type="dxa" w:w="1650"/>
            <w:tcMar>
              <w:top w:w="80" w:type="dxa"/>
              <w:start w:w="120" w:type="dxa"/>
              <w:bottom w:w="80" w:type="dxa"/>
              <w:end w:w="120" w:type="dxa"/>
            </w:tcMar>
            <w:vAlign w:val="top"/>
          </w:tcPr>
          <w:p>
            <w:pPr>
              <w:pStyle w:val="TableBody"/>
            </w:pPr>
            <w:r>
              <w:rPr>
                <w:rFonts w:ascii="Calibri" w:hAnsi="Calibri" w:eastAsia="Calibri"/>
                <w:b w:val="0"/>
                <w:color w:val="222222"/>
                <w:sz w:val="18"/>
              </w:rPr>
              <w:t>Rooms-large</w:t>
            </w:r>
          </w:p>
        </w:tc>
        <w:tc>
          <w:tcPr>
            <w:tcW w:type="dxa" w:w="1450"/>
            <w:tcMar>
              <w:top w:w="80" w:type="dxa"/>
              <w:start w:w="120" w:type="dxa"/>
              <w:bottom w:w="80" w:type="dxa"/>
              <w:end w:w="120" w:type="dxa"/>
            </w:tcMar>
            <w:vAlign w:val="top"/>
          </w:tcPr>
          <w:p>
            <w:pPr>
              <w:pStyle w:val="TableBody"/>
            </w:pPr>
            <w:r>
              <w:rPr>
                <w:rFonts w:ascii="Calibri" w:hAnsi="Calibri" w:eastAsia="Calibri"/>
                <w:b w:val="0"/>
                <w:color w:val="222222"/>
                <w:sz w:val="18"/>
              </w:rPr>
              <w:t>0.417</w:t>
            </w:r>
          </w:p>
        </w:tc>
        <w:tc>
          <w:tcPr>
            <w:tcW w:type="dxa" w:w="1650"/>
            <w:tcMar>
              <w:top w:w="80" w:type="dxa"/>
              <w:start w:w="120" w:type="dxa"/>
              <w:bottom w:w="80" w:type="dxa"/>
              <w:end w:w="120" w:type="dxa"/>
            </w:tcMar>
            <w:vAlign w:val="top"/>
          </w:tcPr>
          <w:p>
            <w:pPr>
              <w:pStyle w:val="TableBody"/>
            </w:pPr>
            <w:r>
              <w:rPr>
                <w:rFonts w:ascii="Calibri" w:hAnsi="Calibri" w:eastAsia="Calibri"/>
                <w:b w:val="0"/>
                <w:color w:val="222222"/>
                <w:sz w:val="18"/>
              </w:rPr>
              <w:t>0.750</w:t>
            </w:r>
          </w:p>
        </w:tc>
        <w:tc>
          <w:tcPr>
            <w:tcW w:type="dxa" w:w="3220"/>
            <w:tcMar>
              <w:top w:w="80" w:type="dxa"/>
              <w:start w:w="120" w:type="dxa"/>
              <w:bottom w:w="80" w:type="dxa"/>
              <w:end w:w="120" w:type="dxa"/>
            </w:tcMar>
            <w:vAlign w:val="top"/>
          </w:tcPr>
          <w:p>
            <w:pPr>
              <w:pStyle w:val="TableBody"/>
            </w:pPr>
            <w:r>
              <w:rPr>
                <w:rFonts w:ascii="Calibri" w:hAnsi="Calibri" w:eastAsia="Calibri"/>
                <w:b w:val="0"/>
                <w:color w:val="222222"/>
                <w:sz w:val="18"/>
              </w:rPr>
              <w:t>0.839 [0.646, 1.222]</w:t>
            </w:r>
          </w:p>
        </w:tc>
        <w:tc>
          <w:tcPr>
            <w:tcW w:type="dxa" w:w="1390"/>
            <w:tcMar>
              <w:top w:w="80" w:type="dxa"/>
              <w:start w:w="120" w:type="dxa"/>
              <w:bottom w:w="80" w:type="dxa"/>
              <w:end w:w="120" w:type="dxa"/>
            </w:tcMar>
            <w:vAlign w:val="top"/>
          </w:tcPr>
          <w:p>
            <w:pPr>
              <w:pStyle w:val="TableBody"/>
            </w:pPr>
            <w:r>
              <w:rPr>
                <w:rFonts w:ascii="Calibri" w:hAnsi="Calibri" w:eastAsia="Calibri"/>
                <w:b w:val="0"/>
                <w:color w:val="222222"/>
                <w:sz w:val="18"/>
              </w:rPr>
              <w:t>9</w:t>
            </w:r>
          </w:p>
        </w:tc>
      </w:tr>
    </w:tbl>
    <w:p>
      <w:pPr>
        <w:spacing w:after="20"/>
      </w:pPr>
    </w:p>
    <w:p>
      <w:pPr/>
      <w:r>
        <w:rPr>
          <w:b/>
          <w:color w:val="1F4D78"/>
        </w:rPr>
        <w:t xml:space="preserve">Result: </w:t>
      </w:r>
      <w:r>
        <w:t>Field-HRM reduced matched expansions by about 15–48%; corrected success evidence was strong in four of six suites. Scalar HRM ratios were 0.427–0.822 and often matched or beat field, falsifying the idea that scalar representation must fail. Additive integration beat focal; the learned heuristic traded search effort for approximately 1.02–1.14 path suboptimality.</w:t>
      </w:r>
    </w:p>
    <w:p>
      <w:pPr/>
      <w:r>
        <w:rPr>
          <w:b/>
          <w:color w:val="1F4D78"/>
        </w:rPr>
        <w:t xml:space="preserve">Why additive wins here: </w:t>
      </w:r>
      <w:r>
        <w:t>Euclidean distance is a loose admissible baseline in obstacle-rich continuous maps. Focal search can only reorder a narrow band defined by that baseline, while additive residual magnitude can repair the missing detour cost directly. This becomes the cross-space baseline-tightness principle.</w:t>
      </w:r>
    </w:p>
    <w:p>
      <w:pPr/>
      <w:r>
        <w:rPr>
          <w:b/>
          <w:color w:val="1F4D78"/>
        </w:rPr>
        <w:t xml:space="preserve">Limitations: </w:t>
      </w:r>
      <w:r>
        <w:t>One GPU/seed, 24 worlds/suite, matched n as low as 6, uncorrected expansion p-values, and post-hoc selection of the best focal w. No evidence of HRM superiority over simpler learned backbones.</w:t>
      </w:r>
    </w:p>
    <w:p>
      <w:pPr>
        <w:pStyle w:val="Heading1"/>
      </w:pPr>
      <w:r>
        <w:t>5. C8 — dynamic space-time planning</w:t>
      </w:r>
    </w:p>
    <w:p>
      <w:pPr/>
      <w:r>
        <w:rPr>
          <w:b/>
          <w:color w:val="1F4D78"/>
        </w:rPr>
        <w:t xml:space="preserve">Why we did it: </w:t>
      </w:r>
      <w:r>
        <w:t>If hierarchy matters, time-coupled obstacles and an explicit future window should be a favorable test. C8 asked two separate questions: can learned guidance beat Euclidean-time search, and does future-aware input beat a present-frame twin?</w:t>
      </w:r>
    </w:p>
    <w:p>
      <w:pPr/>
      <w:r>
        <w:rPr>
          <w:b/>
          <w:color w:val="1F4D78"/>
        </w:rPr>
        <w:t xml:space="preserve">Methodology: </w:t>
      </w:r>
      <w:r>
        <w:t>Use deterministic moving circles, a space-time PRM state (node, t), and backward space-time Dijkstra targets. Hardened suites sealed chokepoints and shortened obstacle periods so timing changed the correct route. The decisive heavy run used W=8 aware inputs and W=0 twins, 53 usable training worlds, 20 evaluation worlds/suite, 12 epochs, all 1,129,536 scalar samples, three training and three held-out dynamic suites, per-suite binding budgets, and the C7 paired success/expansion analysis. A separate oracle-held-out MAE study tested the mechanism directly.</w:t>
      </w:r>
    </w:p>
    <w:tbl>
      <w:tblPr>
        <w:tblW w:type="dxa" w:w="9360"/>
        <w:tblLayout w:type="fixed"/>
        <w:tblLook w:firstColumn="1" w:firstRow="1" w:lastColumn="0" w:lastRow="0" w:noHBand="0" w:noVBand="1" w:val="04A0"/>
        <w:jc w:val="left"/>
        <w:tblInd w:w="120" w:type="dxa"/>
        <w:tblBorders>
          <w:top w:val="single" w:sz="4" w:space="0" w:color="C9D2DD"/>
          <w:left w:val="single" w:sz="4" w:space="0" w:color="C9D2DD"/>
          <w:bottom w:val="single" w:sz="4" w:space="0" w:color="C9D2DD"/>
          <w:right w:val="single" w:sz="4" w:space="0" w:color="C9D2DD"/>
          <w:insideH w:val="single" w:sz="4" w:space="0" w:color="C9D2DD"/>
          <w:insideV w:val="single" w:sz="4" w:space="0" w:color="C9D2DD"/>
        </w:tblBorders>
      </w:tblPr>
      <w:tblGrid>
        <w:gridCol w:w="2500"/>
        <w:gridCol w:w="2100"/>
        <w:gridCol w:w="1900"/>
        <w:gridCol w:w="2860"/>
      </w:tblGrid>
      <w:tr>
        <w:trPr>
          <w:cantSplit/>
          <w:tblHeader w:val="true"/>
          <w:cantSplit/>
        </w:trPr>
        <w:tc>
          <w:tcPr>
            <w:tcW w:type="dxa" w:w="250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Suite / selected arm</w:t>
            </w:r>
          </w:p>
        </w:tc>
        <w:tc>
          <w:tcPr>
            <w:tcW w:type="dxa" w:w="210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Euclid → learned success</w:t>
            </w:r>
          </w:p>
        </w:tc>
        <w:tc>
          <w:tcPr>
            <w:tcW w:type="dxa" w:w="190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Median expansion ratio</w:t>
            </w:r>
          </w:p>
        </w:tc>
        <w:tc>
          <w:tcPr>
            <w:tcW w:type="dxa" w:w="286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Read</w:t>
            </w:r>
          </w:p>
        </w:tc>
      </w:tr>
      <w:tr>
        <w:trPr>
          <w:cantSplit/>
          <w:cantSplit/>
        </w:trPr>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Crossing / field U-Net</w:t>
            </w:r>
          </w:p>
        </w:tc>
        <w:tc>
          <w:tcPr>
            <w:tcW w:type="dxa" w:w="2100"/>
            <w:tcMar>
              <w:top w:w="80" w:type="dxa"/>
              <w:start w:w="120" w:type="dxa"/>
              <w:bottom w:w="80" w:type="dxa"/>
              <w:end w:w="120" w:type="dxa"/>
            </w:tcMar>
            <w:vAlign w:val="top"/>
          </w:tcPr>
          <w:p>
            <w:pPr>
              <w:pStyle w:val="TableBody"/>
            </w:pPr>
            <w:r>
              <w:rPr>
                <w:rFonts w:ascii="Calibri" w:hAnsi="Calibri" w:eastAsia="Calibri"/>
                <w:b w:val="0"/>
                <w:color w:val="222222"/>
                <w:sz w:val="18"/>
              </w:rPr>
              <w:t>0.30 → 1.00</w:t>
            </w:r>
          </w:p>
        </w:tc>
        <w:tc>
          <w:tcPr>
            <w:tcW w:type="dxa" w:w="1900"/>
            <w:tcMar>
              <w:top w:w="80" w:type="dxa"/>
              <w:start w:w="120" w:type="dxa"/>
              <w:bottom w:w="80" w:type="dxa"/>
              <w:end w:w="120" w:type="dxa"/>
            </w:tcMar>
            <w:vAlign w:val="top"/>
          </w:tcPr>
          <w:p>
            <w:pPr>
              <w:pStyle w:val="TableBody"/>
            </w:pPr>
            <w:r>
              <w:rPr>
                <w:rFonts w:ascii="Calibri" w:hAnsi="Calibri" w:eastAsia="Calibri"/>
                <w:b w:val="0"/>
                <w:color w:val="222222"/>
                <w:sz w:val="18"/>
              </w:rPr>
              <w:t>0.258</w:t>
            </w:r>
          </w:p>
        </w:tc>
        <w:tc>
          <w:tcPr>
            <w:tcW w:type="dxa" w:w="2860"/>
            <w:tcMar>
              <w:top w:w="80" w:type="dxa"/>
              <w:start w:w="120" w:type="dxa"/>
              <w:bottom w:w="80" w:type="dxa"/>
              <w:end w:w="120" w:type="dxa"/>
            </w:tcMar>
            <w:vAlign w:val="top"/>
          </w:tcPr>
          <w:p>
            <w:pPr>
              <w:pStyle w:val="TableBody"/>
            </w:pPr>
            <w:r>
              <w:rPr>
                <w:rFonts w:ascii="Calibri" w:hAnsi="Calibri" w:eastAsia="Calibri"/>
                <w:b w:val="0"/>
                <w:color w:val="222222"/>
                <w:sz w:val="18"/>
              </w:rPr>
              <w:t>strong success; p=0.062 expansions</w:t>
            </w:r>
          </w:p>
        </w:tc>
      </w:tr>
      <w:tr>
        <w:trPr>
          <w:cantSplit/>
          <w:cantSplit/>
        </w:trPr>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Maze / field U-Net</w:t>
            </w:r>
          </w:p>
        </w:tc>
        <w:tc>
          <w:tcPr>
            <w:tcW w:type="dxa" w:w="2100"/>
            <w:tcMar>
              <w:top w:w="80" w:type="dxa"/>
              <w:start w:w="120" w:type="dxa"/>
              <w:bottom w:w="80" w:type="dxa"/>
              <w:end w:w="120" w:type="dxa"/>
            </w:tcMar>
            <w:vAlign w:val="top"/>
          </w:tcPr>
          <w:p>
            <w:pPr>
              <w:pStyle w:val="TableBody"/>
            </w:pPr>
            <w:r>
              <w:rPr>
                <w:rFonts w:ascii="Calibri" w:hAnsi="Calibri" w:eastAsia="Calibri"/>
                <w:b w:val="0"/>
                <w:color w:val="222222"/>
                <w:sz w:val="18"/>
              </w:rPr>
              <w:t>0.30 → 1.00</w:t>
            </w:r>
          </w:p>
        </w:tc>
        <w:tc>
          <w:tcPr>
            <w:tcW w:type="dxa" w:w="1900"/>
            <w:tcMar>
              <w:top w:w="80" w:type="dxa"/>
              <w:start w:w="120" w:type="dxa"/>
              <w:bottom w:w="80" w:type="dxa"/>
              <w:end w:w="120" w:type="dxa"/>
            </w:tcMar>
            <w:vAlign w:val="top"/>
          </w:tcPr>
          <w:p>
            <w:pPr>
              <w:pStyle w:val="TableBody"/>
            </w:pPr>
            <w:r>
              <w:rPr>
                <w:rFonts w:ascii="Calibri" w:hAnsi="Calibri" w:eastAsia="Calibri"/>
                <w:b w:val="0"/>
                <w:color w:val="222222"/>
                <w:sz w:val="18"/>
              </w:rPr>
              <w:t>0.064</w:t>
            </w:r>
          </w:p>
        </w:tc>
        <w:tc>
          <w:tcPr>
            <w:tcW w:type="dxa" w:w="2860"/>
            <w:tcMar>
              <w:top w:w="80" w:type="dxa"/>
              <w:start w:w="120" w:type="dxa"/>
              <w:bottom w:w="80" w:type="dxa"/>
              <w:end w:w="120" w:type="dxa"/>
            </w:tcMar>
            <w:vAlign w:val="top"/>
          </w:tcPr>
          <w:p>
            <w:pPr>
              <w:pStyle w:val="TableBody"/>
            </w:pPr>
            <w:r>
              <w:rPr>
                <w:rFonts w:ascii="Calibri" w:hAnsi="Calibri" w:eastAsia="Calibri"/>
                <w:b w:val="0"/>
                <w:color w:val="222222"/>
                <w:sz w:val="18"/>
              </w:rPr>
              <w:t>94% conditional reduction</w:t>
            </w:r>
          </w:p>
        </w:tc>
      </w:tr>
      <w:tr>
        <w:trPr>
          <w:cantSplit/>
          <w:cantSplit/>
        </w:trPr>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Maze-dense / field U-Net</w:t>
            </w:r>
          </w:p>
        </w:tc>
        <w:tc>
          <w:tcPr>
            <w:tcW w:type="dxa" w:w="2100"/>
            <w:tcMar>
              <w:top w:w="80" w:type="dxa"/>
              <w:start w:w="120" w:type="dxa"/>
              <w:bottom w:w="80" w:type="dxa"/>
              <w:end w:w="120" w:type="dxa"/>
            </w:tcMar>
            <w:vAlign w:val="top"/>
          </w:tcPr>
          <w:p>
            <w:pPr>
              <w:pStyle w:val="TableBody"/>
            </w:pPr>
            <w:r>
              <w:rPr>
                <w:rFonts w:ascii="Calibri" w:hAnsi="Calibri" w:eastAsia="Calibri"/>
                <w:b w:val="0"/>
                <w:color w:val="222222"/>
                <w:sz w:val="18"/>
              </w:rPr>
              <w:t>0.05 → 0.75</w:t>
            </w:r>
          </w:p>
        </w:tc>
        <w:tc>
          <w:tcPr>
            <w:tcW w:type="dxa" w:w="1900"/>
            <w:tcMar>
              <w:top w:w="80" w:type="dxa"/>
              <w:start w:w="120" w:type="dxa"/>
              <w:bottom w:w="80" w:type="dxa"/>
              <w:end w:w="120" w:type="dxa"/>
            </w:tcMar>
            <w:vAlign w:val="top"/>
          </w:tcPr>
          <w:p>
            <w:pPr>
              <w:pStyle w:val="TableBody"/>
            </w:pPr>
            <w:r>
              <w:rPr>
                <w:rFonts w:ascii="Calibri" w:hAnsi="Calibri" w:eastAsia="Calibri"/>
                <w:b w:val="0"/>
                <w:color w:val="222222"/>
                <w:sz w:val="18"/>
              </w:rPr>
              <w:t>0.278</w:t>
            </w:r>
          </w:p>
        </w:tc>
        <w:tc>
          <w:tcPr>
            <w:tcW w:type="dxa" w:w="2860"/>
            <w:tcMar>
              <w:top w:w="80" w:type="dxa"/>
              <w:start w:w="120" w:type="dxa"/>
              <w:bottom w:w="80" w:type="dxa"/>
              <w:end w:w="120" w:type="dxa"/>
            </w:tcMar>
            <w:vAlign w:val="top"/>
          </w:tcPr>
          <w:p>
            <w:pPr>
              <w:pStyle w:val="TableBody"/>
            </w:pPr>
            <w:r>
              <w:rPr>
                <w:rFonts w:ascii="Calibri" w:hAnsi="Calibri" w:eastAsia="Calibri"/>
                <w:b w:val="0"/>
                <w:color w:val="222222"/>
                <w:sz w:val="18"/>
              </w:rPr>
              <w:t>matched n=1; success leads</w:t>
            </w:r>
          </w:p>
        </w:tc>
      </w:tr>
      <w:tr>
        <w:trPr>
          <w:cantSplit/>
          <w:cantSplit/>
        </w:trPr>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Rooms / field U-Net</w:t>
            </w:r>
          </w:p>
        </w:tc>
        <w:tc>
          <w:tcPr>
            <w:tcW w:type="dxa" w:w="2100"/>
            <w:tcMar>
              <w:top w:w="80" w:type="dxa"/>
              <w:start w:w="120" w:type="dxa"/>
              <w:bottom w:w="80" w:type="dxa"/>
              <w:end w:w="120" w:type="dxa"/>
            </w:tcMar>
            <w:vAlign w:val="top"/>
          </w:tcPr>
          <w:p>
            <w:pPr>
              <w:pStyle w:val="TableBody"/>
            </w:pPr>
            <w:r>
              <w:rPr>
                <w:rFonts w:ascii="Calibri" w:hAnsi="Calibri" w:eastAsia="Calibri"/>
                <w:b w:val="0"/>
                <w:color w:val="222222"/>
                <w:sz w:val="18"/>
              </w:rPr>
              <w:t>0.30 → 1.00</w:t>
            </w:r>
          </w:p>
        </w:tc>
        <w:tc>
          <w:tcPr>
            <w:tcW w:type="dxa" w:w="1900"/>
            <w:tcMar>
              <w:top w:w="80" w:type="dxa"/>
              <w:start w:w="120" w:type="dxa"/>
              <w:bottom w:w="80" w:type="dxa"/>
              <w:end w:w="120" w:type="dxa"/>
            </w:tcMar>
            <w:vAlign w:val="top"/>
          </w:tcPr>
          <w:p>
            <w:pPr>
              <w:pStyle w:val="TableBody"/>
            </w:pPr>
            <w:r>
              <w:rPr>
                <w:rFonts w:ascii="Calibri" w:hAnsi="Calibri" w:eastAsia="Calibri"/>
                <w:b w:val="0"/>
                <w:color w:val="222222"/>
                <w:sz w:val="18"/>
              </w:rPr>
              <w:t>0.096</w:t>
            </w:r>
          </w:p>
        </w:tc>
        <w:tc>
          <w:tcPr>
            <w:tcW w:type="dxa" w:w="2860"/>
            <w:tcMar>
              <w:top w:w="80" w:type="dxa"/>
              <w:start w:w="120" w:type="dxa"/>
              <w:bottom w:w="80" w:type="dxa"/>
              <w:end w:w="120" w:type="dxa"/>
            </w:tcMar>
            <w:vAlign w:val="top"/>
          </w:tcPr>
          <w:p>
            <w:pPr>
              <w:pStyle w:val="TableBody"/>
            </w:pPr>
            <w:r>
              <w:rPr>
                <w:rFonts w:ascii="Calibri" w:hAnsi="Calibri" w:eastAsia="Calibri"/>
                <w:b w:val="0"/>
                <w:color w:val="222222"/>
                <w:sz w:val="18"/>
              </w:rPr>
              <w:t>90% conditional reduction</w:t>
            </w:r>
          </w:p>
        </w:tc>
      </w:tr>
      <w:tr>
        <w:trPr>
          <w:cantSplit/>
          <w:cantSplit/>
        </w:trPr>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Rooms-large / field U-Net</w:t>
            </w:r>
          </w:p>
        </w:tc>
        <w:tc>
          <w:tcPr>
            <w:tcW w:type="dxa" w:w="2100"/>
            <w:tcMar>
              <w:top w:w="80" w:type="dxa"/>
              <w:start w:w="120" w:type="dxa"/>
              <w:bottom w:w="80" w:type="dxa"/>
              <w:end w:w="120" w:type="dxa"/>
            </w:tcMar>
            <w:vAlign w:val="top"/>
          </w:tcPr>
          <w:p>
            <w:pPr>
              <w:pStyle w:val="TableBody"/>
            </w:pPr>
            <w:r>
              <w:rPr>
                <w:rFonts w:ascii="Calibri" w:hAnsi="Calibri" w:eastAsia="Calibri"/>
                <w:b w:val="0"/>
                <w:color w:val="222222"/>
                <w:sz w:val="18"/>
              </w:rPr>
              <w:t>0.75 → 0.90</w:t>
            </w:r>
          </w:p>
        </w:tc>
        <w:tc>
          <w:tcPr>
            <w:tcW w:type="dxa" w:w="1900"/>
            <w:tcMar>
              <w:top w:w="80" w:type="dxa"/>
              <w:start w:w="120" w:type="dxa"/>
              <w:bottom w:w="80" w:type="dxa"/>
              <w:end w:w="120" w:type="dxa"/>
            </w:tcMar>
            <w:vAlign w:val="top"/>
          </w:tcPr>
          <w:p>
            <w:pPr>
              <w:pStyle w:val="TableBody"/>
            </w:pPr>
            <w:r>
              <w:rPr>
                <w:rFonts w:ascii="Calibri" w:hAnsi="Calibri" w:eastAsia="Calibri"/>
                <w:b w:val="0"/>
                <w:color w:val="222222"/>
                <w:sz w:val="18"/>
              </w:rPr>
              <w:t>0.380</w:t>
            </w:r>
          </w:p>
        </w:tc>
        <w:tc>
          <w:tcPr>
            <w:tcW w:type="dxa" w:w="2860"/>
            <w:tcMar>
              <w:top w:w="80" w:type="dxa"/>
              <w:start w:w="120" w:type="dxa"/>
              <w:bottom w:w="80" w:type="dxa"/>
              <w:end w:w="120" w:type="dxa"/>
            </w:tcMar>
            <w:vAlign w:val="top"/>
          </w:tcPr>
          <w:p>
            <w:pPr>
              <w:pStyle w:val="TableBody"/>
            </w:pPr>
            <w:r>
              <w:rPr>
                <w:rFonts w:ascii="Calibri" w:hAnsi="Calibri" w:eastAsia="Calibri"/>
                <w:b w:val="0"/>
                <w:color w:val="222222"/>
                <w:sz w:val="18"/>
              </w:rPr>
              <w:t>expansion evidence; success saturated</w:t>
            </w:r>
          </w:p>
        </w:tc>
      </w:tr>
      <w:tr>
        <w:trPr>
          <w:cantSplit/>
          <w:cantSplit/>
        </w:trPr>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Spiral / field HRM</w:t>
            </w:r>
          </w:p>
        </w:tc>
        <w:tc>
          <w:tcPr>
            <w:tcW w:type="dxa" w:w="2100"/>
            <w:tcMar>
              <w:top w:w="80" w:type="dxa"/>
              <w:start w:w="120" w:type="dxa"/>
              <w:bottom w:w="80" w:type="dxa"/>
              <w:end w:w="120" w:type="dxa"/>
            </w:tcMar>
            <w:vAlign w:val="top"/>
          </w:tcPr>
          <w:p>
            <w:pPr>
              <w:pStyle w:val="TableBody"/>
            </w:pPr>
            <w:r>
              <w:rPr>
                <w:rFonts w:ascii="Calibri" w:hAnsi="Calibri" w:eastAsia="Calibri"/>
                <w:b w:val="0"/>
                <w:color w:val="222222"/>
                <w:sz w:val="18"/>
              </w:rPr>
              <w:t>0.20 → 0.90</w:t>
            </w:r>
          </w:p>
        </w:tc>
        <w:tc>
          <w:tcPr>
            <w:tcW w:type="dxa" w:w="1900"/>
            <w:tcMar>
              <w:top w:w="80" w:type="dxa"/>
              <w:start w:w="120" w:type="dxa"/>
              <w:bottom w:w="80" w:type="dxa"/>
              <w:end w:w="120" w:type="dxa"/>
            </w:tcMar>
            <w:vAlign w:val="top"/>
          </w:tcPr>
          <w:p>
            <w:pPr>
              <w:pStyle w:val="TableBody"/>
            </w:pPr>
            <w:r>
              <w:rPr>
                <w:rFonts w:ascii="Calibri" w:hAnsi="Calibri" w:eastAsia="Calibri"/>
                <w:b w:val="0"/>
                <w:color w:val="222222"/>
                <w:sz w:val="18"/>
              </w:rPr>
              <w:t>0.046</w:t>
            </w:r>
          </w:p>
        </w:tc>
        <w:tc>
          <w:tcPr>
            <w:tcW w:type="dxa" w:w="2860"/>
            <w:tcMar>
              <w:top w:w="80" w:type="dxa"/>
              <w:start w:w="120" w:type="dxa"/>
              <w:bottom w:w="80" w:type="dxa"/>
              <w:end w:w="120" w:type="dxa"/>
            </w:tcMar>
            <w:vAlign w:val="top"/>
          </w:tcPr>
          <w:p>
            <w:pPr>
              <w:pStyle w:val="TableBody"/>
            </w:pPr>
            <w:r>
              <w:rPr>
                <w:rFonts w:ascii="Calibri" w:hAnsi="Calibri" w:eastAsia="Calibri"/>
                <w:b w:val="0"/>
                <w:color w:val="222222"/>
                <w:sz w:val="18"/>
              </w:rPr>
              <w:t>lowest ratio; small matched set</w:t>
            </w:r>
          </w:p>
        </w:tc>
      </w:tr>
    </w:tbl>
    <w:p>
      <w:pPr>
        <w:spacing w:after="20"/>
      </w:pPr>
    </w:p>
    <w:p>
      <w:pPr/>
      <w:r>
        <w:rPr>
          <w:b/>
          <w:color w:val="1F4D78"/>
        </w:rPr>
        <w:t xml:space="preserve">Positive result: </w:t>
      </w:r>
      <w:r>
        <w:t>Selected learned arms reduced conditional matched expansions about 65–95% and improved success by 0.2–0.7. Additive again dominated focal (roughly 0.05–0.42 versus 0.76–0.99 on strong cells).</w:t>
      </w:r>
    </w:p>
    <w:p>
      <w:pPr/>
      <w:r>
        <w:rPr>
          <w:b/>
          <w:color w:val="1F4D78"/>
        </w:rPr>
        <w:t xml:space="preserve">Temporal negative: </w:t>
      </w:r>
      <w:r>
        <w:t>Across 24 suite/backbone cells, seven uncorrected significant comparisons favored the blind twin and one favored aware. Aware had lower MAE in 11/24 cells and blind in 13/24; mean MAE(aware - blind) was +0.248 time steps. The safe claim is no systematic future-window benefit—not that awareness is always harmful.</w:t>
      </w:r>
    </w:p>
    <w:p>
      <w:pPr/>
      <w:r>
        <w:rPr>
          <w:b/>
          <w:color w:val="1F4D78"/>
        </w:rPr>
        <w:t xml:space="preserve">Reasoning update: </w:t>
      </w:r>
      <w:r>
        <w:t>The optimal labels and planner are time-aware, but current occupancy is nearly sufficient for heuristic guidance on these suites. Supplying the future explicitly increased input complexity without improving predicted time-to-go. This motivates C12’s hidden-regime construction, where identical present observations are forced to imply different futures and actions.</w:t>
      </w:r>
    </w:p>
    <w:p>
      <w:pPr/>
      <w:r>
        <w:rPr>
          <w:b/>
          <w:color w:val="1F4D78"/>
        </w:rPr>
        <w:t xml:space="preserve">Limitations: </w:t>
      </w:r>
      <w:r>
        <w:t>Local single-seed training, small matched sets in some cells, and no field ON-LSTM. A publication run should add training seeds and a success-aware composite.</w:t>
      </w:r>
    </w:p>
    <w:p>
      <w:pPr>
        <w:pStyle w:val="Heading1"/>
      </w:pPr>
      <w:r>
        <w:t>6. C9, C9h, and C9b — what transfer actually depends on</w:t>
      </w:r>
    </w:p>
    <w:p>
      <w:pPr>
        <w:pStyle w:val="Heading2"/>
      </w:pPr>
      <w:r>
        <w:t>6.1 C9: static few-shot transfer</w:t>
      </w:r>
    </w:p>
    <w:p>
      <w:pPr/>
      <w:r>
        <w:rPr>
          <w:b/>
          <w:color w:val="1F4D78"/>
        </w:rPr>
        <w:t xml:space="preserve">Reasoning: </w:t>
      </w:r>
      <w:r>
        <w:t>C7 established a strong pooled heuristic. C9 tested whether that prior reaches unseen families with fewer labels than training from scratch, and whether low-rank adaptation trades capacity for stability.</w:t>
      </w:r>
    </w:p>
    <w:p>
      <w:pPr/>
      <w:r>
        <w:rPr>
          <w:b/>
          <w:color w:val="1F4D78"/>
        </w:rPr>
        <w:t xml:space="preserve">Methodology: </w:t>
      </w:r>
      <w:r>
        <w:t>Adapt C7 pooled HRM/ON-LSTM bases to dense maze, bugtrap, and rooms-large with K={0,1,2,4,8,16,32}, five adaptation seeds, and 30 fixed TEST worlds/target. Compare zero-shot, rank-8 LoRA, full fine-tune, and scratch at calibrated binding budgets. The run trained 540 models and produced 99,360 records. Primary read: matched A* expansion ratio with success as a first-class outcome.</w:t>
      </w:r>
    </w:p>
    <w:p>
      <w:pPr/>
      <w:r>
        <w:rPr>
          <w:b/>
          <w:color w:val="1F4D78"/>
        </w:rPr>
        <w:t xml:space="preserve">Result: </w:t>
      </w:r>
      <w:r>
        <w:t>LoRA usually preserved the strong base at K=1; scratch frequently had poor low-K success; full fine-tuning often reached the best ratio at K=8–16. Examples: maze-dense HRM full-FT improved from 0.744 at K1 to 0.571 at K16; rooms-large moved from 1.128 to 0.500 by K8. LoRA could degrade at high K on bugtrap/rooms-large, so ‘never catastrophic’ is too broad.</w:t>
      </w:r>
    </w:p>
    <w:p>
      <w:pPr>
        <w:pStyle w:val="Heading2"/>
      </w:pPr>
      <w:r>
        <w:t>6.2 C9h: matched-compute mechanism test</w:t>
      </w:r>
    </w:p>
    <w:p>
      <w:pPr/>
      <w:r>
        <w:rPr>
          <w:b/>
          <w:color w:val="1F4D78"/>
        </w:rPr>
        <w:t xml:space="preserve">Reasoning: </w:t>
      </w:r>
      <w:r>
        <w:t>C9 confounded low rank with a lighter training recipe and a bounded residual. C9h isolated the mechanism by matching epochs, learning rate, loss, and gradient clipping while splitting bounded and unbounded LoRA and adding field U-Net conv-LoRA.</w:t>
      </w:r>
    </w:p>
    <w:p>
      <w:pPr/>
      <w:r>
        <w:rPr>
          <w:b/>
          <w:color w:val="1F4D78"/>
        </w:rPr>
        <w:t xml:space="preserve">Methodology: </w:t>
      </w:r>
      <w:r>
        <w:t>Three backbones, three held-out targets, K={1,4,16}, three seeds, identical 10 epochs at lr=2e-4, 324 models, and 61,020 records. Compare bounded LoRA, unbounded LoRA, full fine-tune, scratch, and zero-shot on the same 30 TEST worlds.</w:t>
      </w:r>
    </w:p>
    <w:p>
      <w:pPr/>
      <w:r>
        <w:rPr>
          <w:b/>
          <w:color w:val="1F4D78"/>
        </w:rPr>
        <w:t xml:space="preserve">Result: </w:t>
      </w:r>
      <w:r>
        <w:t>The bounded-minus-unbounded median expansion-ratio delta was 0.000 ± 0.008 across 27 cells; 22/27 were exactly zero. The crossover therefore tracks low-rank versus full-rank capacity, not the clamp. The strongest adaptation was rooms-large field U-Net full-FT: ratio 0.404 at 0.97 success versus zero-shot 0.982 at 0.67 success.</w:t>
      </w:r>
    </w:p>
    <w:p>
      <w:pPr>
        <w:pStyle w:val="Heading2"/>
      </w:pPr>
      <w:r>
        <w:t>6.3 C9b: transfer under dynamics</w:t>
      </w:r>
    </w:p>
    <w:p>
      <w:pPr/>
      <w:r>
        <w:rPr>
          <w:b/>
          <w:color w:val="1F4D78"/>
        </w:rPr>
        <w:t xml:space="preserve">Reasoning: </w:t>
      </w:r>
      <w:r>
        <w:t>C9b asked whether the static crossover survives in space-time and whether target-specific adaptation can make the C8 future window useful.</w:t>
      </w:r>
    </w:p>
    <w:p>
      <w:pPr/>
      <w:r>
        <w:rPr>
          <w:b/>
          <w:color w:val="1F4D78"/>
        </w:rPr>
        <w:t xml:space="preserve">Methodology: </w:t>
      </w:r>
      <w:r>
        <w:t>Adapt six frozen C8 sources (three backbones × aware/blind) to three dynamic targets with K={1,4,16}, three seeds, and 20 TEST worlds. The run trained 486 adapters and generated 30,600 records. Aware/blind comparison uses a success composite so worlds solved by only one arm are not silently discarded.</w:t>
      </w:r>
    </w:p>
    <w:p>
      <w:pPr/>
      <w:r>
        <w:rPr>
          <w:b/>
          <w:color w:val="1F4D78"/>
        </w:rPr>
        <w:t xml:space="preserve">Result: </w:t>
      </w:r>
      <w:r>
        <w:t>Transfer still beats scratch at K=1, but the static crossover disappears: one dynamic world supplies roughly 192 nodes × 140 time steps ≈25k supervised states, so K=1 is already data-rich. LoRA can keep improving and full-FT need not collapse. At full-FT K16, 0/9 target/backbone cells show a positive aware-minus-blind success delta.</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blHeader w:val="true"/>
        </w:trPr>
        <w:tc>
          <w:tcPr>
            <w:tcW w:type="dxa" w:w="9360"/>
            <w:tcMar>
              <w:top w:w="80" w:type="dxa"/>
              <w:start w:w="120" w:type="dxa"/>
              <w:bottom w:w="80" w:type="dxa"/>
              <w:end w:w="120" w:type="dxa"/>
            </w:tcMar>
            <w:vAlign w:val="top"/>
            <w:shd w:fill="EAF4EF" w:val="clear"/>
            <w:tcBorders>
              <w:left w:val="single" w:sz="18" w:space="0" w:color="1F5D42"/>
              <w:top w:val="single" w:sz="4" w:space="0" w:color="C9D2DD"/>
              <w:bottom w:val="single" w:sz="4" w:space="0" w:color="C9D2DD"/>
              <w:right w:val="single" w:sz="4" w:space="0" w:color="C9D2DD"/>
            </w:tcBorders>
          </w:tcPr>
          <w:p>
            <w:pPr>
              <w:spacing w:after="40"/>
            </w:pPr>
            <w:r>
              <w:rPr>
                <w:rFonts w:ascii="Calibri" w:hAnsi="Calibri" w:eastAsia="Calibri"/>
                <w:b/>
                <w:color w:val="1F5D42"/>
                <w:sz w:val="18"/>
              </w:rPr>
              <w:t>TRANSFER TAKEAWAY</w:t>
            </w:r>
          </w:p>
          <w:p>
            <w:pPr>
              <w:pStyle w:val="CalloutBody"/>
            </w:pPr>
            <w:r>
              <w:t>The operative variable is label scarcity, not the integer K by itself. LoRA is valuable when target supervision is genuinely scarce; full-rank adaptation wins when enough labeled states are available. A ‘world’ is not a comparable data unit across static and space-time tasks.</w:t>
            </w:r>
          </w:p>
        </w:tc>
      </w:tr>
    </w:tbl>
    <w:p>
      <w:pPr>
        <w:spacing w:after="0" w:line="96" w:lineRule="auto"/>
      </w:pPr>
    </w:p>
    <w:p>
      <w:pPr/>
      <w:r>
        <w:rPr>
          <w:b/>
          <w:color w:val="1F4D78"/>
        </w:rPr>
        <w:t xml:space="preserve">Statistical limitation: </w:t>
      </w:r>
      <w:r>
        <w:t>C9/C9h/C9b reuse fixed TEST worlds across adaptation seeds. Existing intervals often pool world × seed. Publication analysis must aggregate or cluster at the world level and directly test method-versus-method contrasts.</w:t>
      </w:r>
    </w:p>
    <w:p>
      <w:pPr>
        <w:pStyle w:val="Heading1"/>
      </w:pPr>
      <w:r>
        <w:t>7. C10 — zero-label adapter interpolation</w:t>
      </w:r>
    </w:p>
    <w:p>
      <w:pPr/>
      <w:r>
        <w:rPr>
          <w:b/>
          <w:color w:val="1F4D78"/>
        </w:rPr>
        <w:t xml:space="preserve">Why we did it: </w:t>
      </w:r>
      <w:r>
        <w:t>If per-family LoRA experts encode a smooth task manifold, descriptor-weighted composition might reach an unseen interior family without solved target labels. The design deliberately fixed the earlier extrapolation concern by bracketing targets on controlled maze-density and room-scale axes.</w:t>
      </w:r>
    </w:p>
    <w:p>
      <w:pPr/>
      <w:r>
        <w:rPr>
          <w:b/>
          <w:color w:val="1F4D78"/>
        </w:rPr>
        <w:t xml:space="preserve">Methodology: </w:t>
      </w:r>
      <w:r>
        <w:t>Train 16 rank-8 source experts across eight source families and two backbones. On three held-out interior targets, compare pooled zero-shot, nearest expert, uniform weight merge, RBF weight merge, and RBF prediction mixture. RBF uses geometry-only task descriptors; TEST has 30 matched worlds/target at budget 150. Total: 19,440 records.</w:t>
      </w:r>
    </w:p>
    <w:tbl>
      <w:tblPr>
        <w:tblW w:type="dxa" w:w="9360"/>
        <w:tblLayout w:type="fixed"/>
        <w:tblLook w:firstColumn="1" w:firstRow="1" w:lastColumn="0" w:lastRow="0" w:noHBand="0" w:noVBand="1" w:val="04A0"/>
        <w:jc w:val="left"/>
        <w:tblInd w:w="120" w:type="dxa"/>
        <w:tblBorders>
          <w:top w:val="single" w:sz="4" w:space="0" w:color="C9D2DD"/>
          <w:left w:val="single" w:sz="4" w:space="0" w:color="C9D2DD"/>
          <w:bottom w:val="single" w:sz="4" w:space="0" w:color="C9D2DD"/>
          <w:right w:val="single" w:sz="4" w:space="0" w:color="C9D2DD"/>
          <w:insideH w:val="single" w:sz="4" w:space="0" w:color="C9D2DD"/>
          <w:insideV w:val="single" w:sz="4" w:space="0" w:color="C9D2DD"/>
        </w:tblBorders>
      </w:tblPr>
      <w:tblGrid>
        <w:gridCol w:w="2500"/>
        <w:gridCol w:w="2600"/>
        <w:gridCol w:w="4260"/>
      </w:tblGrid>
      <w:tr>
        <w:trPr>
          <w:cantSplit/>
          <w:tblHeader w:val="true"/>
          <w:cantSplit/>
        </w:trPr>
        <w:tc>
          <w:tcPr>
            <w:tcW w:type="dxa" w:w="250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Target / backbone</w:t>
            </w:r>
          </w:p>
        </w:tc>
        <w:tc>
          <w:tcPr>
            <w:tcW w:type="dxa" w:w="260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RBF merge - zero-shot ratio delta</w:t>
            </w:r>
          </w:p>
        </w:tc>
        <w:tc>
          <w:tcPr>
            <w:tcW w:type="dxa" w:w="426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Interpretation</w:t>
            </w:r>
          </w:p>
        </w:tc>
      </w:tr>
      <w:tr>
        <w:trPr>
          <w:cantSplit/>
          <w:cantSplit/>
        </w:trPr>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Maze / HRM</w:t>
            </w:r>
          </w:p>
        </w:tc>
        <w:tc>
          <w:tcPr>
            <w:tcW w:type="dxa" w:w="2600"/>
            <w:tcMar>
              <w:top w:w="80" w:type="dxa"/>
              <w:start w:w="120" w:type="dxa"/>
              <w:bottom w:w="80" w:type="dxa"/>
              <w:end w:w="120" w:type="dxa"/>
            </w:tcMar>
            <w:vAlign w:val="top"/>
          </w:tcPr>
          <w:p>
            <w:pPr>
              <w:pStyle w:val="TableBody"/>
            </w:pPr>
            <w:r>
              <w:rPr>
                <w:rFonts w:ascii="Calibri" w:hAnsi="Calibri" w:eastAsia="Calibri"/>
                <w:b w:val="0"/>
                <w:color w:val="222222"/>
                <w:sz w:val="18"/>
              </w:rPr>
              <w:t>-0.022</w:t>
            </w:r>
          </w:p>
        </w:tc>
        <w:tc>
          <w:tcPr>
            <w:tcW w:type="dxa" w:w="4260"/>
            <w:tcMar>
              <w:top w:w="80" w:type="dxa"/>
              <w:start w:w="120" w:type="dxa"/>
              <w:bottom w:w="80" w:type="dxa"/>
              <w:end w:w="120" w:type="dxa"/>
            </w:tcMar>
            <w:vAlign w:val="top"/>
          </w:tcPr>
          <w:p>
            <w:pPr>
              <w:pStyle w:val="TableBody"/>
            </w:pPr>
            <w:r>
              <w:rPr>
                <w:rFonts w:ascii="Calibri" w:hAnsi="Calibri" w:eastAsia="Calibri"/>
                <w:b w:val="0"/>
                <w:color w:val="222222"/>
                <w:sz w:val="18"/>
              </w:rPr>
              <w:t>small RBF improvement</w:t>
            </w:r>
          </w:p>
        </w:tc>
      </w:tr>
      <w:tr>
        <w:trPr>
          <w:cantSplit/>
          <w:cantSplit/>
        </w:trPr>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Maze / ON-LSTM</w:t>
            </w:r>
          </w:p>
        </w:tc>
        <w:tc>
          <w:tcPr>
            <w:tcW w:type="dxa" w:w="2600"/>
            <w:tcMar>
              <w:top w:w="80" w:type="dxa"/>
              <w:start w:w="120" w:type="dxa"/>
              <w:bottom w:w="80" w:type="dxa"/>
              <w:end w:w="120" w:type="dxa"/>
            </w:tcMar>
            <w:vAlign w:val="top"/>
          </w:tcPr>
          <w:p>
            <w:pPr>
              <w:pStyle w:val="TableBody"/>
            </w:pPr>
            <w:r>
              <w:rPr>
                <w:rFonts w:ascii="Calibri" w:hAnsi="Calibri" w:eastAsia="Calibri"/>
                <w:b w:val="0"/>
                <w:color w:val="222222"/>
                <w:sz w:val="18"/>
              </w:rPr>
              <w:t>-0.012</w:t>
            </w:r>
          </w:p>
        </w:tc>
        <w:tc>
          <w:tcPr>
            <w:tcW w:type="dxa" w:w="4260"/>
            <w:tcMar>
              <w:top w:w="80" w:type="dxa"/>
              <w:start w:w="120" w:type="dxa"/>
              <w:bottom w:w="80" w:type="dxa"/>
              <w:end w:w="120" w:type="dxa"/>
            </w:tcMar>
            <w:vAlign w:val="top"/>
          </w:tcPr>
          <w:p>
            <w:pPr>
              <w:pStyle w:val="TableBody"/>
            </w:pPr>
            <w:r>
              <w:rPr>
                <w:rFonts w:ascii="Calibri" w:hAnsi="Calibri" w:eastAsia="Calibri"/>
                <w:b w:val="0"/>
                <w:color w:val="222222"/>
                <w:sz w:val="18"/>
              </w:rPr>
              <w:t>small RBF improvement</w:t>
            </w:r>
          </w:p>
        </w:tc>
      </w:tr>
      <w:tr>
        <w:trPr>
          <w:cantSplit/>
          <w:cantSplit/>
        </w:trPr>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Rooms t25 / HRM</w:t>
            </w:r>
          </w:p>
        </w:tc>
        <w:tc>
          <w:tcPr>
            <w:tcW w:type="dxa" w:w="2600"/>
            <w:tcMar>
              <w:top w:w="80" w:type="dxa"/>
              <w:start w:w="120" w:type="dxa"/>
              <w:bottom w:w="80" w:type="dxa"/>
              <w:end w:w="120" w:type="dxa"/>
            </w:tcMar>
            <w:vAlign w:val="top"/>
          </w:tcPr>
          <w:p>
            <w:pPr>
              <w:pStyle w:val="TableBody"/>
            </w:pPr>
            <w:r>
              <w:rPr>
                <w:rFonts w:ascii="Calibri" w:hAnsi="Calibri" w:eastAsia="Calibri"/>
                <w:b w:val="0"/>
                <w:color w:val="222222"/>
                <w:sz w:val="18"/>
              </w:rPr>
              <w:t>-0.024</w:t>
            </w:r>
          </w:p>
        </w:tc>
        <w:tc>
          <w:tcPr>
            <w:tcW w:type="dxa" w:w="4260"/>
            <w:tcMar>
              <w:top w:w="80" w:type="dxa"/>
              <w:start w:w="120" w:type="dxa"/>
              <w:bottom w:w="80" w:type="dxa"/>
              <w:end w:w="120" w:type="dxa"/>
            </w:tcMar>
            <w:vAlign w:val="top"/>
          </w:tcPr>
          <w:p>
            <w:pPr>
              <w:pStyle w:val="TableBody"/>
            </w:pPr>
            <w:r>
              <w:rPr>
                <w:rFonts w:ascii="Calibri" w:hAnsi="Calibri" w:eastAsia="Calibri"/>
                <w:b w:val="0"/>
                <w:color w:val="222222"/>
                <w:sz w:val="18"/>
              </w:rPr>
              <w:t>small RBF improvement</w:t>
            </w:r>
          </w:p>
        </w:tc>
      </w:tr>
      <w:tr>
        <w:trPr>
          <w:cantSplit/>
          <w:cantSplit/>
        </w:trPr>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Rooms t25 / ON-LSTM</w:t>
            </w:r>
          </w:p>
        </w:tc>
        <w:tc>
          <w:tcPr>
            <w:tcW w:type="dxa" w:w="2600"/>
            <w:tcMar>
              <w:top w:w="80" w:type="dxa"/>
              <w:start w:w="120" w:type="dxa"/>
              <w:bottom w:w="80" w:type="dxa"/>
              <w:end w:w="120" w:type="dxa"/>
            </w:tcMar>
            <w:vAlign w:val="top"/>
          </w:tcPr>
          <w:p>
            <w:pPr>
              <w:pStyle w:val="TableBody"/>
            </w:pPr>
            <w:r>
              <w:rPr>
                <w:rFonts w:ascii="Calibri" w:hAnsi="Calibri" w:eastAsia="Calibri"/>
                <w:b w:val="0"/>
                <w:color w:val="222222"/>
                <w:sz w:val="18"/>
              </w:rPr>
              <w:t>+0.082</w:t>
            </w:r>
          </w:p>
        </w:tc>
        <w:tc>
          <w:tcPr>
            <w:tcW w:type="dxa" w:w="4260"/>
            <w:tcMar>
              <w:top w:w="80" w:type="dxa"/>
              <w:start w:w="120" w:type="dxa"/>
              <w:bottom w:w="80" w:type="dxa"/>
              <w:end w:w="120" w:type="dxa"/>
            </w:tcMar>
            <w:vAlign w:val="top"/>
          </w:tcPr>
          <w:p>
            <w:pPr>
              <w:pStyle w:val="TableBody"/>
            </w:pPr>
            <w:r>
              <w:rPr>
                <w:rFonts w:ascii="Calibri" w:hAnsi="Calibri" w:eastAsia="Calibri"/>
                <w:b w:val="0"/>
                <w:color w:val="222222"/>
                <w:sz w:val="18"/>
              </w:rPr>
              <w:t>RBF worse</w:t>
            </w:r>
          </w:p>
        </w:tc>
      </w:tr>
      <w:tr>
        <w:trPr>
          <w:cantSplit/>
          <w:cantSplit/>
        </w:trPr>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Rooms t35 / HRM</w:t>
            </w:r>
          </w:p>
        </w:tc>
        <w:tc>
          <w:tcPr>
            <w:tcW w:type="dxa" w:w="2600"/>
            <w:tcMar>
              <w:top w:w="80" w:type="dxa"/>
              <w:start w:w="120" w:type="dxa"/>
              <w:bottom w:w="80" w:type="dxa"/>
              <w:end w:w="120" w:type="dxa"/>
            </w:tcMar>
            <w:vAlign w:val="top"/>
          </w:tcPr>
          <w:p>
            <w:pPr>
              <w:pStyle w:val="TableBody"/>
            </w:pPr>
            <w:r>
              <w:rPr>
                <w:rFonts w:ascii="Calibri" w:hAnsi="Calibri" w:eastAsia="Calibri"/>
                <w:b w:val="0"/>
                <w:color w:val="222222"/>
                <w:sz w:val="18"/>
              </w:rPr>
              <w:t>+0.012</w:t>
            </w:r>
          </w:p>
        </w:tc>
        <w:tc>
          <w:tcPr>
            <w:tcW w:type="dxa" w:w="4260"/>
            <w:tcMar>
              <w:top w:w="80" w:type="dxa"/>
              <w:start w:w="120" w:type="dxa"/>
              <w:bottom w:w="80" w:type="dxa"/>
              <w:end w:w="120" w:type="dxa"/>
            </w:tcMar>
            <w:vAlign w:val="top"/>
          </w:tcPr>
          <w:p>
            <w:pPr>
              <w:pStyle w:val="TableBody"/>
            </w:pPr>
            <w:r>
              <w:rPr>
                <w:rFonts w:ascii="Calibri" w:hAnsi="Calibri" w:eastAsia="Calibri"/>
                <w:b w:val="0"/>
                <w:color w:val="222222"/>
                <w:sz w:val="18"/>
              </w:rPr>
              <w:t>near tie</w:t>
            </w:r>
          </w:p>
        </w:tc>
      </w:tr>
      <w:tr>
        <w:trPr>
          <w:cantSplit/>
          <w:cantSplit/>
        </w:trPr>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Rooms t35 / ON-LSTM</w:t>
            </w:r>
          </w:p>
        </w:tc>
        <w:tc>
          <w:tcPr>
            <w:tcW w:type="dxa" w:w="2600"/>
            <w:tcMar>
              <w:top w:w="80" w:type="dxa"/>
              <w:start w:w="120" w:type="dxa"/>
              <w:bottom w:w="80" w:type="dxa"/>
              <w:end w:w="120" w:type="dxa"/>
            </w:tcMar>
            <w:vAlign w:val="top"/>
          </w:tcPr>
          <w:p>
            <w:pPr>
              <w:pStyle w:val="TableBody"/>
            </w:pPr>
            <w:r>
              <w:rPr>
                <w:rFonts w:ascii="Calibri" w:hAnsi="Calibri" w:eastAsia="Calibri"/>
                <w:b w:val="0"/>
                <w:color w:val="222222"/>
                <w:sz w:val="18"/>
              </w:rPr>
              <w:t>+0.116</w:t>
            </w:r>
          </w:p>
        </w:tc>
        <w:tc>
          <w:tcPr>
            <w:tcW w:type="dxa" w:w="4260"/>
            <w:tcMar>
              <w:top w:w="80" w:type="dxa"/>
              <w:start w:w="120" w:type="dxa"/>
              <w:bottom w:w="80" w:type="dxa"/>
              <w:end w:w="120" w:type="dxa"/>
            </w:tcMar>
            <w:vAlign w:val="top"/>
          </w:tcPr>
          <w:p>
            <w:pPr>
              <w:pStyle w:val="TableBody"/>
            </w:pPr>
            <w:r>
              <w:rPr>
                <w:rFonts w:ascii="Calibri" w:hAnsi="Calibri" w:eastAsia="Calibri"/>
                <w:b w:val="0"/>
                <w:color w:val="222222"/>
                <w:sz w:val="18"/>
              </w:rPr>
              <w:t>RBF worse</w:t>
            </w:r>
          </w:p>
        </w:tc>
      </w:tr>
    </w:tbl>
    <w:p>
      <w:pPr>
        <w:spacing w:after="20"/>
      </w:pPr>
    </w:p>
    <w:p>
      <w:pPr/>
      <w:r>
        <w:rPr>
          <w:b/>
          <w:color w:val="1F4D78"/>
        </w:rPr>
        <w:t xml:space="preserve">Result: </w:t>
      </w:r>
      <w:r>
        <w:t>RBF correctly put 98.6–99.8% of mass on the target’s own family axis, so the routing machinery worked. Planning gains were mixed; uniform and nearest often matched RBF, and weight-space and prediction-space differed by only about -0.012 to +0.007. No composition method consistently beat the pooled base.</w:t>
      </w:r>
    </w:p>
    <w:p>
      <w:pPr/>
      <w:r>
        <w:rPr>
          <w:b/>
          <w:color w:val="1F4D78"/>
        </w:rPr>
        <w:t xml:space="preserve">Mechanism: </w:t>
      </w:r>
      <w:r>
        <w:t>C9h had already shown that each rank-8 expert stays near the base. Combining plateaued experts cannot manufacture headroom. A stronger test would use a deliberately narrower base or higher-capacity experts that first exceed zero-shot.</w:t>
      </w:r>
    </w:p>
    <w:p>
      <w:pPr/>
      <w:r>
        <w:rPr>
          <w:b/>
          <w:color w:val="1F4D78"/>
        </w:rPr>
        <w:t xml:space="preserve">Limitations: </w:t>
      </w:r>
      <w:r>
        <w:t>Two smooth axes, geometry-derived target descriptors (zero-label but transductive), strong base by construction, and no direct equivalence/noninferiority test.</w:t>
      </w:r>
    </w:p>
    <w:p>
      <w:pPr>
        <w:pStyle w:val="Heading1"/>
      </w:pPr>
      <w:r>
        <w:t>8. C11 — compositional missions and hierarchy</w:t>
      </w:r>
    </w:p>
    <w:p>
      <w:pPr/>
      <w:r>
        <w:rPr>
          <w:b/>
          <w:color w:val="1F4D78"/>
        </w:rPr>
        <w:t xml:space="preserve">Why we did it: </w:t>
      </w:r>
      <w:r>
        <w:t>Earlier stages could be locally MLP-complete: models saw a pre-digested scalar regression target with cheap signals. C11 constructed ordered waypoint and keys/doors missions on a product graph, exposed real sequences/graphs, included an explicit MLP control, and required architecture advantage to grow with mission depth.</w:t>
      </w:r>
    </w:p>
    <w:p>
      <w:pPr>
        <w:pStyle w:val="Heading2"/>
      </w:pPr>
      <w:r>
        <w:t>8.1 Authorization probe: prove headroom before training</w:t>
      </w:r>
    </w:p>
    <w:p>
      <w:pPr/>
      <w:r>
        <w:rPr>
          <w:b/>
          <w:color w:val="1F4D78"/>
        </w:rPr>
        <w:t xml:space="preserve">Methodology: </w:t>
      </w:r>
      <w:r>
        <w:t>For configs A (maze waypoints), B (rooms-large waypoints), and C (maze keys/doors), sample 25 worlds/cell at K={2,4,8}. Calibrate a binding budget on the geometric leg-sum baseline and compare next-leg, leg-sum, and exact product-graph oracle heuristics. The preregistered gate required the oracle/leg-sum matched expansion ratio ≤0.5–0.6 in at least one cell, ideally shrinking with K.</w:t>
      </w:r>
    </w:p>
    <w:tbl>
      <w:tblPr>
        <w:tblW w:type="dxa" w:w="9360"/>
        <w:tblLayout w:type="fixed"/>
        <w:tblLook w:firstColumn="1" w:firstRow="1" w:lastColumn="0" w:lastRow="0" w:noHBand="0" w:noVBand="1" w:val="04A0"/>
        <w:jc w:val="left"/>
        <w:tblInd w:w="120" w:type="dxa"/>
        <w:tblBorders>
          <w:top w:val="single" w:sz="4" w:space="0" w:color="C9D2DD"/>
          <w:left w:val="single" w:sz="4" w:space="0" w:color="C9D2DD"/>
          <w:bottom w:val="single" w:sz="4" w:space="0" w:color="C9D2DD"/>
          <w:right w:val="single" w:sz="4" w:space="0" w:color="C9D2DD"/>
          <w:insideH w:val="single" w:sz="4" w:space="0" w:color="C9D2DD"/>
          <w:insideV w:val="single" w:sz="4" w:space="0" w:color="C9D2DD"/>
        </w:tblBorders>
      </w:tblPr>
      <w:tblGrid>
        <w:gridCol w:w="2100"/>
        <w:gridCol w:w="1900"/>
        <w:gridCol w:w="1400"/>
        <w:gridCol w:w="1700"/>
        <w:gridCol w:w="2260"/>
      </w:tblGrid>
      <w:tr>
        <w:trPr>
          <w:cantSplit/>
          <w:tblHeader w:val="true"/>
          <w:cantSplit/>
        </w:trPr>
        <w:tc>
          <w:tcPr>
            <w:tcW w:type="dxa" w:w="210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Config</w:t>
            </w:r>
          </w:p>
        </w:tc>
        <w:tc>
          <w:tcPr>
            <w:tcW w:type="dxa" w:w="190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K=2 oracle/leg-sum</w:t>
            </w:r>
          </w:p>
        </w:tc>
        <w:tc>
          <w:tcPr>
            <w:tcW w:type="dxa" w:w="140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K=4</w:t>
            </w:r>
          </w:p>
        </w:tc>
        <w:tc>
          <w:tcPr>
            <w:tcW w:type="dxa" w:w="170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K=8</w:t>
            </w:r>
          </w:p>
        </w:tc>
        <w:tc>
          <w:tcPr>
            <w:tcW w:type="dxa" w:w="226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Dose-response</w:t>
            </w:r>
          </w:p>
        </w:tc>
      </w:tr>
      <w:tr>
        <w:trPr>
          <w:cantSplit/>
          <w:cantSplit/>
        </w:trPr>
        <w:tc>
          <w:tcPr>
            <w:tcW w:type="dxa" w:w="2100"/>
            <w:tcMar>
              <w:top w:w="80" w:type="dxa"/>
              <w:start w:w="120" w:type="dxa"/>
              <w:bottom w:w="80" w:type="dxa"/>
              <w:end w:w="120" w:type="dxa"/>
            </w:tcMar>
            <w:vAlign w:val="top"/>
          </w:tcPr>
          <w:p>
            <w:pPr>
              <w:pStyle w:val="TableBody"/>
            </w:pPr>
            <w:r>
              <w:rPr>
                <w:rFonts w:ascii="Calibri" w:hAnsi="Calibri" w:eastAsia="Calibri"/>
                <w:b w:val="0"/>
                <w:color w:val="222222"/>
                <w:sz w:val="18"/>
              </w:rPr>
              <w:t>A: maze waypoints</w:t>
            </w:r>
          </w:p>
        </w:tc>
        <w:tc>
          <w:tcPr>
            <w:tcW w:type="dxa" w:w="1900"/>
            <w:tcMar>
              <w:top w:w="80" w:type="dxa"/>
              <w:start w:w="120" w:type="dxa"/>
              <w:bottom w:w="80" w:type="dxa"/>
              <w:end w:w="120" w:type="dxa"/>
            </w:tcMar>
            <w:vAlign w:val="top"/>
          </w:tcPr>
          <w:p>
            <w:pPr>
              <w:pStyle w:val="TableBody"/>
            </w:pPr>
            <w:r>
              <w:rPr>
                <w:rFonts w:ascii="Calibri" w:hAnsi="Calibri" w:eastAsia="Calibri"/>
                <w:b w:val="0"/>
                <w:color w:val="222222"/>
                <w:sz w:val="18"/>
              </w:rPr>
              <w:t>0.155 (n=6)</w:t>
            </w:r>
          </w:p>
        </w:tc>
        <w:tc>
          <w:tcPr>
            <w:tcW w:type="dxa" w:w="1400"/>
            <w:tcMar>
              <w:top w:w="80" w:type="dxa"/>
              <w:start w:w="120" w:type="dxa"/>
              <w:bottom w:w="80" w:type="dxa"/>
              <w:end w:w="120" w:type="dxa"/>
            </w:tcMar>
            <w:vAlign w:val="top"/>
          </w:tcPr>
          <w:p>
            <w:pPr>
              <w:pStyle w:val="TableBody"/>
            </w:pPr>
            <w:r>
              <w:rPr>
                <w:rFonts w:ascii="Calibri" w:hAnsi="Calibri" w:eastAsia="Calibri"/>
                <w:b w:val="0"/>
                <w:color w:val="222222"/>
                <w:sz w:val="18"/>
              </w:rPr>
              <w:t>0.121 (n=3)</w:t>
            </w:r>
          </w:p>
        </w:tc>
        <w:tc>
          <w:tcPr>
            <w:tcW w:type="dxa" w:w="1700"/>
            <w:tcMar>
              <w:top w:w="80" w:type="dxa"/>
              <w:start w:w="120" w:type="dxa"/>
              <w:bottom w:w="80" w:type="dxa"/>
              <w:end w:w="120" w:type="dxa"/>
            </w:tcMar>
            <w:vAlign w:val="top"/>
          </w:tcPr>
          <w:p>
            <w:pPr>
              <w:pStyle w:val="TableBody"/>
            </w:pPr>
            <w:r>
              <w:rPr>
                <w:rFonts w:ascii="Calibri" w:hAnsi="Calibri" w:eastAsia="Calibri"/>
                <w:b w:val="0"/>
                <w:color w:val="222222"/>
                <w:sz w:val="18"/>
              </w:rPr>
              <w:t>0.082 (n=20)</w:t>
            </w:r>
          </w:p>
        </w:tc>
        <w:tc>
          <w:tcPr>
            <w:tcW w:type="dxa" w:w="2260"/>
            <w:tcMar>
              <w:top w:w="80" w:type="dxa"/>
              <w:start w:w="120" w:type="dxa"/>
              <w:bottom w:w="80" w:type="dxa"/>
              <w:end w:w="120" w:type="dxa"/>
            </w:tcMar>
            <w:vAlign w:val="top"/>
          </w:tcPr>
          <w:p>
            <w:pPr>
              <w:pStyle w:val="TableBody"/>
            </w:pPr>
            <w:r>
              <w:rPr>
                <w:rFonts w:ascii="Calibri" w:hAnsi="Calibri" w:eastAsia="Calibri"/>
                <w:b w:val="0"/>
                <w:color w:val="222222"/>
                <w:sz w:val="18"/>
              </w:rPr>
              <w:t>monotone</w:t>
            </w:r>
          </w:p>
        </w:tc>
      </w:tr>
      <w:tr>
        <w:trPr>
          <w:cantSplit/>
          <w:cantSplit/>
        </w:trPr>
        <w:tc>
          <w:tcPr>
            <w:tcW w:type="dxa" w:w="2100"/>
            <w:tcMar>
              <w:top w:w="80" w:type="dxa"/>
              <w:start w:w="120" w:type="dxa"/>
              <w:bottom w:w="80" w:type="dxa"/>
              <w:end w:w="120" w:type="dxa"/>
            </w:tcMar>
            <w:vAlign w:val="top"/>
          </w:tcPr>
          <w:p>
            <w:pPr>
              <w:pStyle w:val="TableBody"/>
            </w:pPr>
            <w:r>
              <w:rPr>
                <w:rFonts w:ascii="Calibri" w:hAnsi="Calibri" w:eastAsia="Calibri"/>
                <w:b w:val="0"/>
                <w:color w:val="222222"/>
                <w:sz w:val="18"/>
              </w:rPr>
              <w:t>B: rooms-large</w:t>
            </w:r>
          </w:p>
        </w:tc>
        <w:tc>
          <w:tcPr>
            <w:tcW w:type="dxa" w:w="1900"/>
            <w:tcMar>
              <w:top w:w="80" w:type="dxa"/>
              <w:start w:w="120" w:type="dxa"/>
              <w:bottom w:w="80" w:type="dxa"/>
              <w:end w:w="120" w:type="dxa"/>
            </w:tcMar>
            <w:vAlign w:val="top"/>
          </w:tcPr>
          <w:p>
            <w:pPr>
              <w:pStyle w:val="TableBody"/>
            </w:pPr>
            <w:r>
              <w:rPr>
                <w:rFonts w:ascii="Calibri" w:hAnsi="Calibri" w:eastAsia="Calibri"/>
                <w:b w:val="0"/>
                <w:color w:val="222222"/>
                <w:sz w:val="18"/>
              </w:rPr>
              <w:t>0.225 (n=12)</w:t>
            </w:r>
          </w:p>
        </w:tc>
        <w:tc>
          <w:tcPr>
            <w:tcW w:type="dxa" w:w="1400"/>
            <w:tcMar>
              <w:top w:w="80" w:type="dxa"/>
              <w:start w:w="120" w:type="dxa"/>
              <w:bottom w:w="80" w:type="dxa"/>
              <w:end w:w="120" w:type="dxa"/>
            </w:tcMar>
            <w:vAlign w:val="top"/>
          </w:tcPr>
          <w:p>
            <w:pPr>
              <w:pStyle w:val="TableBody"/>
            </w:pPr>
            <w:r>
              <w:rPr>
                <w:rFonts w:ascii="Calibri" w:hAnsi="Calibri" w:eastAsia="Calibri"/>
                <w:b w:val="0"/>
                <w:color w:val="222222"/>
                <w:sz w:val="18"/>
              </w:rPr>
              <w:t>0.208 (n=4)</w:t>
            </w:r>
          </w:p>
        </w:tc>
        <w:tc>
          <w:tcPr>
            <w:tcW w:type="dxa" w:w="1700"/>
            <w:tcMar>
              <w:top w:w="80" w:type="dxa"/>
              <w:start w:w="120" w:type="dxa"/>
              <w:bottom w:w="80" w:type="dxa"/>
              <w:end w:w="120" w:type="dxa"/>
            </w:tcMar>
            <w:vAlign w:val="top"/>
          </w:tcPr>
          <w:p>
            <w:pPr>
              <w:pStyle w:val="TableBody"/>
            </w:pPr>
            <w:r>
              <w:rPr>
                <w:rFonts w:ascii="Calibri" w:hAnsi="Calibri" w:eastAsia="Calibri"/>
                <w:b w:val="0"/>
                <w:color w:val="222222"/>
                <w:sz w:val="18"/>
              </w:rPr>
              <w:t>0.103 (n=16)</w:t>
            </w:r>
          </w:p>
        </w:tc>
        <w:tc>
          <w:tcPr>
            <w:tcW w:type="dxa" w:w="2260"/>
            <w:tcMar>
              <w:top w:w="80" w:type="dxa"/>
              <w:start w:w="120" w:type="dxa"/>
              <w:bottom w:w="80" w:type="dxa"/>
              <w:end w:w="120" w:type="dxa"/>
            </w:tcMar>
            <w:vAlign w:val="top"/>
          </w:tcPr>
          <w:p>
            <w:pPr>
              <w:pStyle w:val="TableBody"/>
            </w:pPr>
            <w:r>
              <w:rPr>
                <w:rFonts w:ascii="Calibri" w:hAnsi="Calibri" w:eastAsia="Calibri"/>
                <w:b w:val="0"/>
                <w:color w:val="222222"/>
                <w:sz w:val="18"/>
              </w:rPr>
              <w:t>monotone</w:t>
            </w:r>
          </w:p>
        </w:tc>
      </w:tr>
      <w:tr>
        <w:trPr>
          <w:cantSplit/>
          <w:cantSplit/>
        </w:trPr>
        <w:tc>
          <w:tcPr>
            <w:tcW w:type="dxa" w:w="2100"/>
            <w:tcMar>
              <w:top w:w="80" w:type="dxa"/>
              <w:start w:w="120" w:type="dxa"/>
              <w:bottom w:w="80" w:type="dxa"/>
              <w:end w:w="120" w:type="dxa"/>
            </w:tcMar>
            <w:vAlign w:val="top"/>
          </w:tcPr>
          <w:p>
            <w:pPr>
              <w:pStyle w:val="TableBody"/>
            </w:pPr>
            <w:r>
              <w:rPr>
                <w:rFonts w:ascii="Calibri" w:hAnsi="Calibri" w:eastAsia="Calibri"/>
                <w:b w:val="0"/>
                <w:color w:val="222222"/>
                <w:sz w:val="18"/>
              </w:rPr>
              <w:t>C: keys/doors</w:t>
            </w:r>
          </w:p>
        </w:tc>
        <w:tc>
          <w:tcPr>
            <w:tcW w:type="dxa" w:w="1900"/>
            <w:tcMar>
              <w:top w:w="80" w:type="dxa"/>
              <w:start w:w="120" w:type="dxa"/>
              <w:bottom w:w="80" w:type="dxa"/>
              <w:end w:w="120" w:type="dxa"/>
            </w:tcMar>
            <w:vAlign w:val="top"/>
          </w:tcPr>
          <w:p>
            <w:pPr>
              <w:pStyle w:val="TableBody"/>
            </w:pPr>
            <w:r>
              <w:rPr>
                <w:rFonts w:ascii="Calibri" w:hAnsi="Calibri" w:eastAsia="Calibri"/>
                <w:b w:val="0"/>
                <w:color w:val="222222"/>
                <w:sz w:val="18"/>
              </w:rPr>
              <w:t>0.144 (n=5)</w:t>
            </w:r>
          </w:p>
        </w:tc>
        <w:tc>
          <w:tcPr>
            <w:tcW w:type="dxa" w:w="1400"/>
            <w:tcMar>
              <w:top w:w="80" w:type="dxa"/>
              <w:start w:w="120" w:type="dxa"/>
              <w:bottom w:w="80" w:type="dxa"/>
              <w:end w:w="120" w:type="dxa"/>
            </w:tcMar>
            <w:vAlign w:val="top"/>
          </w:tcPr>
          <w:p>
            <w:pPr>
              <w:pStyle w:val="TableBody"/>
            </w:pPr>
            <w:r>
              <w:rPr>
                <w:rFonts w:ascii="Calibri" w:hAnsi="Calibri" w:eastAsia="Calibri"/>
                <w:b w:val="0"/>
                <w:color w:val="222222"/>
                <w:sz w:val="18"/>
              </w:rPr>
              <w:t>0.128 (n=3)</w:t>
            </w:r>
          </w:p>
        </w:tc>
        <w:tc>
          <w:tcPr>
            <w:tcW w:type="dxa" w:w="1700"/>
            <w:tcMar>
              <w:top w:w="80" w:type="dxa"/>
              <w:start w:w="120" w:type="dxa"/>
              <w:bottom w:w="80" w:type="dxa"/>
              <w:end w:w="120" w:type="dxa"/>
            </w:tcMar>
            <w:vAlign w:val="top"/>
          </w:tcPr>
          <w:p>
            <w:pPr>
              <w:pStyle w:val="TableBody"/>
            </w:pPr>
            <w:r>
              <w:rPr>
                <w:rFonts w:ascii="Calibri" w:hAnsi="Calibri" w:eastAsia="Calibri"/>
                <w:b w:val="0"/>
                <w:color w:val="222222"/>
                <w:sz w:val="18"/>
              </w:rPr>
              <w:t>0.084 (n=23)</w:t>
            </w:r>
          </w:p>
        </w:tc>
        <w:tc>
          <w:tcPr>
            <w:tcW w:type="dxa" w:w="2260"/>
            <w:tcMar>
              <w:top w:w="80" w:type="dxa"/>
              <w:start w:w="120" w:type="dxa"/>
              <w:bottom w:w="80" w:type="dxa"/>
              <w:end w:w="120" w:type="dxa"/>
            </w:tcMar>
            <w:vAlign w:val="top"/>
          </w:tcPr>
          <w:p>
            <w:pPr>
              <w:pStyle w:val="TableBody"/>
            </w:pPr>
            <w:r>
              <w:rPr>
                <w:rFonts w:ascii="Calibri" w:hAnsi="Calibri" w:eastAsia="Calibri"/>
                <w:b w:val="0"/>
                <w:color w:val="222222"/>
                <w:sz w:val="18"/>
              </w:rPr>
              <w:t>monotone</w:t>
            </w:r>
          </w:p>
        </w:tc>
      </w:tr>
    </w:tbl>
    <w:p>
      <w:pPr>
        <w:spacing w:after="20"/>
      </w:pPr>
    </w:p>
    <w:p>
      <w:pPr/>
      <w:r>
        <w:rPr>
          <w:b/>
          <w:color w:val="1F4D78"/>
        </w:rPr>
        <w:t xml:space="preserve">Probe verdict: </w:t>
      </w:r>
      <w:r>
        <w:t>PASS. All nine ratios cleared the gate; at K=8 the oracle cut roughly 90–92% of leg-sum expansions on matched worlds. This proved that a useful heuristic exists and that headroom grows with mission depth.</w:t>
      </w:r>
    </w:p>
    <w:p>
      <w:pPr>
        <w:pStyle w:val="Heading2"/>
      </w:pPr>
      <w:r>
        <w:t>8.2 Main architecture grid</w:t>
      </w:r>
    </w:p>
    <w:p>
      <w:pPr/>
      <w:r>
        <w:rPr>
          <w:b/>
          <w:color w:val="1F4D78"/>
        </w:rPr>
        <w:t xml:space="preserve">Methodology: </w:t>
      </w:r>
      <w:r>
        <w:t>Eleven cells across configs A/B/C and K={0,2,4,8}; 40 disjoint TRAIN and 25 TEST worlds/cell; three training seeds. All arms regress the same nonnegative residual over the leg-sum heuristic. Six trained arms are MLP, FiLM U-Net, full product-graph GNN, HRM trace, ON-LSTM trace, and faithful HRM-v2 ACT. Evaluation includes leg-sum/next/oracle references and forced HRM-v2 segments k={1,2,4,8}. The complete main grid contains 198 checkpoints and 54,450 evaluation rows.</w:t>
      </w:r>
    </w:p>
    <w:p>
      <w:pPr/>
      <w:r>
        <w:rPr>
          <w:b/>
          <w:color w:val="1F4D78"/>
        </w:rPr>
        <w:t xml:space="preserve">Fairness logic: </w:t>
      </w:r>
      <w:r>
        <w:t>The MLP receives the same flattened query/mission tokens; recurrent models receive the real mission trace; U-Net sees occupancy/current-target/door grids; the GNN sees the full product graph. The hierarchy claim required a structured arm to beat MLP at two of K={2,4,8} on one config with a non-decreasing gap. HRM-v2 additionally had to improve as forced compute increased and learn to halt longer on deeper missions.</w:t>
      </w:r>
    </w:p>
    <w:tbl>
      <w:tblPr>
        <w:tblW w:type="dxa" w:w="9360"/>
        <w:tblLayout w:type="fixed"/>
        <w:tblLook w:firstColumn="1" w:firstRow="1" w:lastColumn="0" w:lastRow="0" w:noHBand="0" w:noVBand="1" w:val="04A0"/>
        <w:jc w:val="left"/>
        <w:tblInd w:w="120" w:type="dxa"/>
        <w:tblBorders>
          <w:top w:val="single" w:sz="4" w:space="0" w:color="C9D2DD"/>
          <w:left w:val="single" w:sz="4" w:space="0" w:color="C9D2DD"/>
          <w:bottom w:val="single" w:sz="4" w:space="0" w:color="C9D2DD"/>
          <w:right w:val="single" w:sz="4" w:space="0" w:color="C9D2DD"/>
          <w:insideH w:val="single" w:sz="4" w:space="0" w:color="C9D2DD"/>
          <w:insideV w:val="single" w:sz="4" w:space="0" w:color="C9D2DD"/>
        </w:tblBorders>
      </w:tblPr>
      <w:tblGrid>
        <w:gridCol w:w="1550"/>
        <w:gridCol w:w="1750"/>
        <w:gridCol w:w="6060"/>
      </w:tblGrid>
      <w:tr>
        <w:trPr>
          <w:cantSplit/>
          <w:tblHeader w:val="true"/>
          <w:cantSplit/>
        </w:trPr>
        <w:tc>
          <w:tcPr>
            <w:tcW w:type="dxa" w:w="1550"/>
            <w:tcMar>
              <w:top w:w="80" w:type="dxa"/>
              <w:start w:w="120" w:type="dxa"/>
              <w:bottom w:w="80" w:type="dxa"/>
              <w:end w:w="120" w:type="dxa"/>
            </w:tcMar>
            <w:vAlign w:val="top"/>
            <w:shd w:fill="E8EEF5" w:val="clear"/>
          </w:tcPr>
          <w:p>
            <w:pPr>
              <w:pStyle w:val="CompactTable"/>
            </w:pPr>
            <w:r>
              <w:rPr>
                <w:rFonts w:ascii="Calibri" w:hAnsi="Calibri" w:eastAsia="Calibri"/>
                <w:b/>
                <w:color w:val="0B2545"/>
                <w:sz w:val="17"/>
              </w:rPr>
              <w:t>Gate</w:t>
            </w:r>
          </w:p>
        </w:tc>
        <w:tc>
          <w:tcPr>
            <w:tcW w:type="dxa" w:w="1750"/>
            <w:tcMar>
              <w:top w:w="80" w:type="dxa"/>
              <w:start w:w="120" w:type="dxa"/>
              <w:bottom w:w="80" w:type="dxa"/>
              <w:end w:w="120" w:type="dxa"/>
            </w:tcMar>
            <w:vAlign w:val="top"/>
            <w:shd w:fill="E8EEF5" w:val="clear"/>
          </w:tcPr>
          <w:p>
            <w:pPr>
              <w:pStyle w:val="CompactTable"/>
            </w:pPr>
            <w:r>
              <w:rPr>
                <w:rFonts w:ascii="Calibri" w:hAnsi="Calibri" w:eastAsia="Calibri"/>
                <w:b/>
                <w:color w:val="0B2545"/>
                <w:sz w:val="17"/>
              </w:rPr>
              <w:t>Verdict</w:t>
            </w:r>
          </w:p>
        </w:tc>
        <w:tc>
          <w:tcPr>
            <w:tcW w:type="dxa" w:w="6060"/>
            <w:tcMar>
              <w:top w:w="80" w:type="dxa"/>
              <w:start w:w="120" w:type="dxa"/>
              <w:bottom w:w="80" w:type="dxa"/>
              <w:end w:w="120" w:type="dxa"/>
            </w:tcMar>
            <w:vAlign w:val="top"/>
            <w:shd w:fill="E8EEF5" w:val="clear"/>
          </w:tcPr>
          <w:p>
            <w:pPr>
              <w:pStyle w:val="CompactTable"/>
            </w:pPr>
            <w:r>
              <w:rPr>
                <w:rFonts w:ascii="Calibri" w:hAnsi="Calibri" w:eastAsia="Calibri"/>
                <w:b/>
                <w:color w:val="0B2545"/>
                <w:sz w:val="17"/>
              </w:rPr>
              <w:t>Evidence-safe read</w:t>
            </w:r>
          </w:p>
        </w:tc>
      </w:tr>
      <w:tr>
        <w:trPr>
          <w:cantSplit/>
          <w:cantSplit/>
        </w:trPr>
        <w:tc>
          <w:tcPr>
            <w:tcW w:type="dxa" w:w="1550"/>
            <w:tcMar>
              <w:top w:w="80" w:type="dxa"/>
              <w:start w:w="120" w:type="dxa"/>
              <w:bottom w:w="80" w:type="dxa"/>
              <w:end w:w="120" w:type="dxa"/>
            </w:tcMar>
            <w:vAlign w:val="top"/>
          </w:tcPr>
          <w:p>
            <w:pPr>
              <w:pStyle w:val="CompactTable"/>
            </w:pPr>
            <w:r>
              <w:rPr>
                <w:rFonts w:ascii="Calibri" w:hAnsi="Calibri" w:eastAsia="Calibri"/>
                <w:b w:val="0"/>
                <w:color w:val="222222"/>
                <w:sz w:val="17"/>
              </w:rPr>
              <w:t>K=0 continuity</w:t>
            </w:r>
          </w:p>
        </w:tc>
        <w:tc>
          <w:tcPr>
            <w:tcW w:type="dxa" w:w="1750"/>
            <w:shd w:fill="FFF6DB" w:val="clear"/>
            <w:tcMar>
              <w:top w:w="80" w:type="dxa"/>
              <w:start w:w="120" w:type="dxa"/>
              <w:bottom w:w="80" w:type="dxa"/>
              <w:end w:w="120" w:type="dxa"/>
            </w:tcMar>
            <w:vAlign w:val="top"/>
          </w:tcPr>
          <w:p>
            <w:pPr>
              <w:pStyle w:val="CompactTable"/>
            </w:pPr>
            <w:r>
              <w:rPr>
                <w:rFonts w:ascii="Calibri" w:hAnsi="Calibri" w:eastAsia="Calibri"/>
                <w:b w:val="0"/>
                <w:color w:val="222222"/>
                <w:sz w:val="17"/>
              </w:rPr>
              <w:t>FAIL, diagnosed</w:t>
            </w:r>
          </w:p>
        </w:tc>
        <w:tc>
          <w:tcPr>
            <w:tcW w:type="dxa" w:w="6060"/>
            <w:tcMar>
              <w:top w:w="80" w:type="dxa"/>
              <w:start w:w="120" w:type="dxa"/>
              <w:bottom w:w="80" w:type="dxa"/>
              <w:end w:w="120" w:type="dxa"/>
            </w:tcMar>
            <w:vAlign w:val="top"/>
          </w:tcPr>
          <w:p>
            <w:pPr>
              <w:pStyle w:val="CompactTable"/>
            </w:pPr>
            <w:r>
              <w:rPr>
                <w:rFonts w:ascii="Calibri" w:hAnsi="Calibri" w:eastAsia="Calibri"/>
                <w:b w:val="0"/>
                <w:color w:val="222222"/>
                <w:sz w:val="17"/>
              </w:rPr>
              <w:t>Not an analyzer bug: C11 adds an MLP and architecture-specific information interfaces, so K=0 is geometrically C7-like but not an all-arm tie.</w:t>
            </w:r>
          </w:p>
        </w:tc>
      </w:tr>
      <w:tr>
        <w:trPr>
          <w:cantSplit/>
          <w:cantSplit/>
        </w:trPr>
        <w:tc>
          <w:tcPr>
            <w:tcW w:type="dxa" w:w="1550"/>
            <w:tcMar>
              <w:top w:w="80" w:type="dxa"/>
              <w:start w:w="120" w:type="dxa"/>
              <w:bottom w:w="80" w:type="dxa"/>
              <w:end w:w="120" w:type="dxa"/>
            </w:tcMar>
            <w:vAlign w:val="top"/>
          </w:tcPr>
          <w:p>
            <w:pPr>
              <w:pStyle w:val="CompactTable"/>
            </w:pPr>
            <w:r>
              <w:rPr>
                <w:rFonts w:ascii="Calibri" w:hAnsi="Calibri" w:eastAsia="Calibri"/>
                <w:b w:val="0"/>
                <w:color w:val="222222"/>
                <w:sz w:val="17"/>
              </w:rPr>
              <w:t>G1 structure dose-response</w:t>
            </w:r>
          </w:p>
        </w:tc>
        <w:tc>
          <w:tcPr>
            <w:tcW w:type="dxa" w:w="1750"/>
            <w:shd w:fill="FBECEC" w:val="clear"/>
            <w:tcMar>
              <w:top w:w="80" w:type="dxa"/>
              <w:start w:w="120" w:type="dxa"/>
              <w:bottom w:w="80" w:type="dxa"/>
              <w:end w:w="120" w:type="dxa"/>
            </w:tcMar>
            <w:vAlign w:val="top"/>
          </w:tcPr>
          <w:p>
            <w:pPr>
              <w:pStyle w:val="CompactTable"/>
            </w:pPr>
            <w:r>
              <w:rPr>
                <w:rFonts w:ascii="Calibri" w:hAnsi="Calibri" w:eastAsia="Calibri"/>
                <w:b w:val="0"/>
                <w:color w:val="222222"/>
                <w:sz w:val="17"/>
              </w:rPr>
              <w:t>Negative</w:t>
            </w:r>
          </w:p>
        </w:tc>
        <w:tc>
          <w:tcPr>
            <w:tcW w:type="dxa" w:w="6060"/>
            <w:tcMar>
              <w:top w:w="80" w:type="dxa"/>
              <w:start w:w="120" w:type="dxa"/>
              <w:bottom w:w="80" w:type="dxa"/>
              <w:end w:w="120" w:type="dxa"/>
            </w:tcMar>
            <w:vAlign w:val="top"/>
          </w:tcPr>
          <w:p>
            <w:pPr>
              <w:pStyle w:val="CompactTable"/>
            </w:pPr>
            <w:r>
              <w:rPr>
                <w:rFonts w:ascii="Calibri" w:hAnsi="Calibri" w:eastAsia="Calibri"/>
                <w:b w:val="0"/>
                <w:color w:val="222222"/>
                <w:sz w:val="17"/>
              </w:rPr>
              <w:t>No structured arm beats MLP at ≥2 depth values on one config with a non-decreasing gap.</w:t>
            </w:r>
          </w:p>
        </w:tc>
      </w:tr>
      <w:tr>
        <w:trPr>
          <w:cantSplit/>
          <w:cantSplit/>
        </w:trPr>
        <w:tc>
          <w:tcPr>
            <w:tcW w:type="dxa" w:w="1550"/>
            <w:tcMar>
              <w:top w:w="80" w:type="dxa"/>
              <w:start w:w="120" w:type="dxa"/>
              <w:bottom w:w="80" w:type="dxa"/>
              <w:end w:w="120" w:type="dxa"/>
            </w:tcMar>
            <w:vAlign w:val="top"/>
          </w:tcPr>
          <w:p>
            <w:pPr>
              <w:pStyle w:val="CompactTable"/>
            </w:pPr>
            <w:r>
              <w:rPr>
                <w:rFonts w:ascii="Calibri" w:hAnsi="Calibri" w:eastAsia="Calibri"/>
                <w:b w:val="0"/>
                <w:color w:val="222222"/>
                <w:sz w:val="17"/>
              </w:rPr>
              <w:t>G2a forced compute</w:t>
            </w:r>
          </w:p>
        </w:tc>
        <w:tc>
          <w:tcPr>
            <w:tcW w:type="dxa" w:w="1750"/>
            <w:shd w:fill="FBECEC" w:val="clear"/>
            <w:tcMar>
              <w:top w:w="80" w:type="dxa"/>
              <w:start w:w="120" w:type="dxa"/>
              <w:bottom w:w="80" w:type="dxa"/>
              <w:end w:w="120" w:type="dxa"/>
            </w:tcMar>
            <w:vAlign w:val="top"/>
          </w:tcPr>
          <w:p>
            <w:pPr>
              <w:pStyle w:val="CompactTable"/>
            </w:pPr>
            <w:r>
              <w:rPr>
                <w:rFonts w:ascii="Calibri" w:hAnsi="Calibri" w:eastAsia="Calibri"/>
                <w:b w:val="0"/>
                <w:color w:val="222222"/>
                <w:sz w:val="17"/>
              </w:rPr>
              <w:t>Negative / insufficient</w:t>
            </w:r>
          </w:p>
        </w:tc>
        <w:tc>
          <w:tcPr>
            <w:tcW w:type="dxa" w:w="6060"/>
            <w:tcMar>
              <w:top w:w="80" w:type="dxa"/>
              <w:start w:w="120" w:type="dxa"/>
              <w:bottom w:w="80" w:type="dxa"/>
              <w:end w:w="120" w:type="dxa"/>
            </w:tcMar>
            <w:vAlign w:val="top"/>
          </w:tcPr>
          <w:p>
            <w:pPr>
              <w:pStyle w:val="CompactTable"/>
            </w:pPr>
            <w:r>
              <w:rPr>
                <w:rFonts w:ascii="Calibri" w:hAnsi="Calibri" w:eastAsia="Calibri"/>
                <w:b w:val="0"/>
                <w:color w:val="222222"/>
                <w:sz w:val="17"/>
              </w:rPr>
              <w:t>HRM-v2 k=1/2/4/8 expansion and MAE curves are nearly flat at K=8.</w:t>
            </w:r>
          </w:p>
        </w:tc>
      </w:tr>
      <w:tr>
        <w:trPr>
          <w:cantSplit/>
          <w:cantSplit/>
        </w:trPr>
        <w:tc>
          <w:tcPr>
            <w:tcW w:type="dxa" w:w="1550"/>
            <w:tcMar>
              <w:top w:w="80" w:type="dxa"/>
              <w:start w:w="120" w:type="dxa"/>
              <w:bottom w:w="80" w:type="dxa"/>
              <w:end w:w="120" w:type="dxa"/>
            </w:tcMar>
            <w:vAlign w:val="top"/>
          </w:tcPr>
          <w:p>
            <w:pPr>
              <w:pStyle w:val="CompactTable"/>
            </w:pPr>
            <w:r>
              <w:rPr>
                <w:rFonts w:ascii="Calibri" w:hAnsi="Calibri" w:eastAsia="Calibri"/>
                <w:b w:val="0"/>
                <w:color w:val="222222"/>
                <w:sz w:val="17"/>
              </w:rPr>
              <w:t>G2b learned halting</w:t>
            </w:r>
          </w:p>
        </w:tc>
        <w:tc>
          <w:tcPr>
            <w:tcW w:type="dxa" w:w="1750"/>
            <w:shd w:fill="FBECEC" w:val="clear"/>
            <w:tcMar>
              <w:top w:w="80" w:type="dxa"/>
              <w:start w:w="120" w:type="dxa"/>
              <w:bottom w:w="80" w:type="dxa"/>
              <w:end w:w="120" w:type="dxa"/>
            </w:tcMar>
            <w:vAlign w:val="top"/>
          </w:tcPr>
          <w:p>
            <w:pPr>
              <w:pStyle w:val="CompactTable"/>
            </w:pPr>
            <w:r>
              <w:rPr>
                <w:rFonts w:ascii="Calibri" w:hAnsi="Calibri" w:eastAsia="Calibri"/>
                <w:b w:val="0"/>
                <w:color w:val="222222"/>
                <w:sz w:val="17"/>
              </w:rPr>
              <w:t>Negative, inverted</w:t>
            </w:r>
          </w:p>
        </w:tc>
        <w:tc>
          <w:tcPr>
            <w:tcW w:type="dxa" w:w="6060"/>
            <w:tcMar>
              <w:top w:w="80" w:type="dxa"/>
              <w:start w:w="120" w:type="dxa"/>
              <w:bottom w:w="80" w:type="dxa"/>
              <w:end w:w="120" w:type="dxa"/>
            </w:tcMar>
            <w:vAlign w:val="top"/>
          </w:tcPr>
          <w:p>
            <w:pPr>
              <w:pStyle w:val="CompactTable"/>
            </w:pPr>
            <w:r>
              <w:rPr>
                <w:rFonts w:ascii="Calibri" w:hAnsi="Calibri" w:eastAsia="Calibri"/>
                <w:b w:val="0"/>
                <w:color w:val="222222"/>
                <w:sz w:val="17"/>
              </w:rPr>
              <w:t>Pooled rho=-0.407, permutation p≈0.0005, n=675; halt steps do not grow with mission depth.</w:t>
            </w:r>
          </w:p>
        </w:tc>
      </w:tr>
      <w:tr>
        <w:trPr>
          <w:cantSplit/>
          <w:cantSplit/>
        </w:trPr>
        <w:tc>
          <w:tcPr>
            <w:tcW w:type="dxa" w:w="1550"/>
            <w:tcMar>
              <w:top w:w="80" w:type="dxa"/>
              <w:start w:w="120" w:type="dxa"/>
              <w:bottom w:w="80" w:type="dxa"/>
              <w:end w:w="120" w:type="dxa"/>
            </w:tcMar>
            <w:vAlign w:val="top"/>
          </w:tcPr>
          <w:p>
            <w:pPr>
              <w:pStyle w:val="CompactTable"/>
            </w:pPr>
            <w:r>
              <w:rPr>
                <w:rFonts w:ascii="Calibri" w:hAnsi="Calibri" w:eastAsia="Calibri"/>
                <w:b w:val="0"/>
                <w:color w:val="222222"/>
                <w:sz w:val="17"/>
              </w:rPr>
              <w:t>G3 closure</w:t>
            </w:r>
          </w:p>
        </w:tc>
        <w:tc>
          <w:tcPr>
            <w:tcW w:type="dxa" w:w="1750"/>
            <w:shd w:fill="E8EEF5" w:val="clear"/>
            <w:tcMar>
              <w:top w:w="80" w:type="dxa"/>
              <w:start w:w="120" w:type="dxa"/>
              <w:bottom w:w="80" w:type="dxa"/>
              <w:end w:w="120" w:type="dxa"/>
            </w:tcMar>
            <w:vAlign w:val="top"/>
          </w:tcPr>
          <w:p>
            <w:pPr>
              <w:pStyle w:val="CompactTable"/>
            </w:pPr>
            <w:r>
              <w:rPr>
                <w:rFonts w:ascii="Calibri" w:hAnsi="Calibri" w:eastAsia="Calibri"/>
                <w:b w:val="0"/>
                <w:color w:val="222222"/>
                <w:sz w:val="17"/>
              </w:rPr>
              <w:t>Mixed architecture result</w:t>
            </w:r>
          </w:p>
        </w:tc>
        <w:tc>
          <w:tcPr>
            <w:tcW w:type="dxa" w:w="6060"/>
            <w:tcMar>
              <w:top w:w="80" w:type="dxa"/>
              <w:start w:w="120" w:type="dxa"/>
              <w:bottom w:w="80" w:type="dxa"/>
              <w:end w:w="120" w:type="dxa"/>
            </w:tcMar>
            <w:vAlign w:val="top"/>
          </w:tcPr>
          <w:p>
            <w:pPr>
              <w:pStyle w:val="CompactTable"/>
            </w:pPr>
            <w:r>
              <w:rPr>
                <w:rFonts w:ascii="Calibri" w:hAnsi="Calibri" w:eastAsia="Calibri"/>
                <w:b w:val="0"/>
                <w:color w:val="222222"/>
                <w:sz w:val="17"/>
              </w:rPr>
              <w:t>Global-input U-Net/GNN separate at shallow K, but no architecture converts depth into a growing advantage.</w:t>
            </w:r>
          </w:p>
        </w:tc>
      </w:tr>
    </w:tbl>
    <w:p>
      <w:pPr>
        <w:spacing w:after="20"/>
      </w:pPr>
    </w:p>
    <w:p>
      <w:pPr/>
      <w:r>
        <w:rPr>
          <w:b/>
          <w:color w:val="1F4D78"/>
        </w:rPr>
        <w:t xml:space="preserve">Architecture result: </w:t>
      </w:r>
      <w:r>
        <w:t>U-Net and GNN—the arms with a global occupancy/product-graph view—show the clearest shallow advantages, with versus-MLP expansion ratios around 0.67–0.87 at K∈{0,2}. At A/K=0, state MAE was 0.151 for U-Net, 0.171 for GNN, and 0.251 for MLP. At K∈{4,8}, error rose for every arm and the advantage disappeared.</w:t>
      </w:r>
    </w:p>
    <w:p>
      <w:pPr/>
      <w:r>
        <w:rPr>
          <w:b/>
          <w:color w:val="1F4D78"/>
        </w:rPr>
        <w:t xml:space="preserve">Optimization pathology: </w:t>
      </w:r>
      <w:r>
        <w:t>Five of 33 recurrent/ACT arm-cell combinations show constant or partial-seed collapse. The worst HRM-trace deficits (ratios 1.526 at A8 and 1.600 at C8) are collapse measurements, not clean evidence of an expressiveness limit. Removing K=0 padding worsened recurrence, so padding was being used as extra compute rather than causing the failure.</w:t>
      </w:r>
    </w:p>
    <w:p>
      <w:pPr/>
      <w:r>
        <w:rPr>
          <w:b/>
          <w:color w:val="1F4D78"/>
        </w:rPr>
        <w:t xml:space="preserve">Scale addendum — live: </w:t>
      </w:r>
      <w:r>
        <w:t>A separate 12-run comparison scales U-Net and HRM trace to roughly 15M parameters on config A, K={2,8}, seeds 0–2. As of the evidence cut, 9/12 checkpoints exist (all six K=2, plus all three U-Net K=8); training is still running and no evaluation artifact exists. Do not cite an outcome yet.</w:t>
      </w:r>
    </w:p>
    <w:p>
      <w:pPr/>
      <w:r>
        <w:rPr>
          <w:b/>
          <w:color w:val="1F4D78"/>
        </w:rPr>
        <w:t xml:space="preserve">Statistical limitation: </w:t>
      </w:r>
      <w:r>
        <w:t>Current C11 inference often pools 25 worlds × three model seeds. The mechanical gate verdict is negative, but publication CIs and q-values should be recomputed with world-clustered resampling.</w:t>
      </w:r>
    </w:p>
    <w:p>
      <w:pPr>
        <w:pStyle w:val="Heading1"/>
      </w:pPr>
      <w:r>
        <w:t>9. C12 — a principled remaining test for hierarchy</w:t>
      </w:r>
    </w:p>
    <w:p>
      <w:pPr/>
      <w:r>
        <w:rPr>
          <w:b/>
          <w:color w:val="1F4D78"/>
        </w:rPr>
        <w:t xml:space="preserve">Why C12 is different: </w:t>
      </w:r>
      <w:r>
        <w:t>C12 does not add another backbone to the same fully observed scalar task. It targets two missing mechanisms: state that must persist across replans when the present is insufficient, and a shared full-graph update whose output can improve over repeated compute cycles. The intended claim is conditional: hierarchy helps when the problem exposes a matching hierarchy.</w:t>
      </w:r>
    </w:p>
    <w:p>
      <w:pPr>
        <w:pStyle w:val="Heading2"/>
      </w:pPr>
      <w:r>
        <w:t>9.1 C12-A: persistent partially observed dynamics (primary)</w:t>
      </w:r>
    </w:p>
    <w:p>
      <w:pPr/>
      <w:r>
        <w:rPr>
          <w:b/>
          <w:color w:val="1F4D78"/>
        </w:rPr>
        <w:t xml:space="preserve">Environment: </w:t>
      </w:r>
      <w:r>
        <w:t>Reuse C8 PRMs and collision conventions, but hide a deterministic slow regime that controls fast patroller routes and gate transitions. Construct direction aliasing, slow gate phase, and route-mode junction pairs where the serialized current observation matches but the 8-step future and correct first action differ. Fast periods are nominally 6–12 steps; slow dwell times 32–64; episodes 128 steps; history burn-in 16; prediction horizon 32.</w:t>
      </w:r>
    </w:p>
    <w:p>
      <w:pPr/>
      <w:r>
        <w:rPr>
          <w:b/>
          <w:color w:val="1F4D78"/>
        </w:rPr>
        <w:t xml:space="preserve">Models and controls: </w:t>
      </w:r>
      <w:r>
        <w:t>Snapshot, persistent flat LSTM, sliding-window Transformer, persistent ON-LSTM, and streaming two-timescale HRM; plus frozen-frame, constant-velocity, true-mode, and oracle-future references. Target 3–5M parameters with parameter/compute/latency matching. Persistent carry is compared with reset-at-replan and 16-frame re-encode modes using the same checkpoint.</w:t>
      </w:r>
    </w:p>
    <w:p>
      <w:pPr/>
      <w:r>
        <w:rPr>
          <w:b/>
          <w:color w:val="1F4D78"/>
        </w:rPr>
        <w:t xml:space="preserve">Closed-loop test: </w:t>
      </w:r>
      <w:r>
        <w:t>At each roadmap node: update carry, predict 32 future steps, run space-time A* on predicted dynamics, execute only the first action, score against the true simulator, and repeat. Primary outcomes are collision-free completion, collisions, cumulative expansions, wall time, arrival time/regret, failed plans, and replans. Forecast error is secondary mechanism evidence.</w:t>
      </w:r>
    </w:p>
    <w:p>
      <w:pPr/>
      <w:r>
        <w:rPr>
          <w:b/>
          <w:color w:val="1F4D78"/>
        </w:rPr>
        <w:t xml:space="preserve">Authorization gate: </w:t>
      </w:r>
      <w:r>
        <w:t>Before training, 200 probe episodes/stratum must show: ≥15% constructed alias decisions; history-aware baseline improvement of ≥0.15 completion or ≥25% regret; oracle completion ≥85% with ≥20% remaining gap; and much smaller history headroom on a present-sufficient control. If G0-A fails, recalibrate the environment—not the model—and make no architecture claim.</w:t>
      </w:r>
    </w:p>
    <w:p>
      <w:pPr/>
      <w:r>
        <w:rPr>
          <w:b/>
          <w:color w:val="1F4D78"/>
        </w:rPr>
        <w:t xml:space="preserve">Primary positive criterion: </w:t>
      </w:r>
      <w:r>
        <w:t>A hierarchical arm must improve completion in at least two of three challenge strata, or reduce expansions/regret by ≥15% at tied safety, with world-clustered uncertainty, no collision regression, and a larger effect on long-dwell OOD than on the present-sufficient control.</w:t>
      </w:r>
    </w:p>
    <w:p>
      <w:pPr>
        <w:pStyle w:val="Heading2"/>
      </w:pPr>
      <w:r>
        <w:t>9.2 C12-B: tied full-product-graph refinement (independent addendum)</w:t>
      </w:r>
    </w:p>
    <w:p>
      <w:pPr/>
      <w:r>
        <w:rPr>
          <w:b/>
          <w:color w:val="1F4D78"/>
        </w:rPr>
        <w:t xml:space="preserve">Method: </w:t>
      </w:r>
      <w:r>
        <w:t>Apply one shared graph message/update block recurrently to the complete C11 product graph and emit deeply supervised residuals after cycles 1/2/4/8. Compare the tied refiner with the existing 8-round GNN, a parameter-matched one-step widened graph model, and an edge-operation/FLOP-matched untied 8-block model. Primary cells are configs A/C at K={2,8,16}; K=16 is authorized only if headroom, graph distance, and memory gates pass.</w:t>
      </w:r>
    </w:p>
    <w:p>
      <w:pPr/>
      <w:r>
        <w:rPr>
          <w:b/>
          <w:color w:val="1F4D78"/>
        </w:rPr>
        <w:t xml:space="preserve">Reasoning: </w:t>
      </w:r>
      <w:r>
        <w:t>If cycle 8 beats cycle 1 but only ties the untied compute control, the result is ‘more propagation helps,’ not ‘hierarchy helps.’ A hierarchy-positive verdict requires monotone compute-depth improvement and a cycle-8 win over both shallow and compute-matched controls without success loss.</w:t>
      </w:r>
    </w:p>
    <w:p>
      <w:pPr/>
      <w:r>
        <w:rPr>
          <w:b/>
          <w:color w:val="1F4D78"/>
        </w:rPr>
        <w:t xml:space="preserve">Statistics and stop rules: </w:t>
      </w:r>
      <w:r>
        <w:t>Aggregate three model seeds within world; world-clustered bootstrap and paired world-level permutation tests; BH correction within gates. Pure probes precede model implementation. Full runs stop for an explicit compute decision if projected GPU time exceeds 36 hours or evaluation exceeds 24 CPU-hours.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blHeader w:val="true"/>
        </w:trPr>
        <w:tc>
          <w:tcPr>
            <w:tcW w:type="dxa" w:w="9360"/>
            <w:tcMar>
              <w:top w:w="80" w:type="dxa"/>
              <w:start w:w="120" w:type="dxa"/>
              <w:bottom w:w="80" w:type="dxa"/>
              <w:end w:w="120" w:type="dxa"/>
            </w:tcMar>
            <w:vAlign w:val="top"/>
            <w:shd w:fill="FFF6DB" w:val="clear"/>
            <w:tcBorders>
              <w:left w:val="single" w:sz="18" w:space="0" w:color="7A5A00"/>
              <w:top w:val="single" w:sz="4" w:space="0" w:color="C9D2DD"/>
              <w:bottom w:val="single" w:sz="4" w:space="0" w:color="C9D2DD"/>
              <w:right w:val="single" w:sz="4" w:space="0" w:color="C9D2DD"/>
            </w:tcBorders>
          </w:tcPr>
          <w:p>
            <w:pPr>
              <w:spacing w:after="40"/>
            </w:pPr>
            <w:r>
              <w:rPr>
                <w:rFonts w:ascii="Calibri" w:hAnsi="Calibri" w:eastAsia="Calibri"/>
                <w:b/>
                <w:color w:val="7A5A00"/>
                <w:sz w:val="18"/>
              </w:rPr>
              <w:t>C12 STATUS</w:t>
            </w:r>
          </w:p>
          <w:p>
            <w:pPr>
              <w:pStyle w:val="CalloutBody"/>
            </w:pPr>
            <w:r>
              <w:t>Approved design and implementation plan only. There are no C12 results. The immediate scientific action is the two inexpensive authorization probes, not a full training run.</w:t>
            </w:r>
          </w:p>
        </w:tc>
      </w:tr>
    </w:tbl>
    <w:p>
      <w:pPr>
        <w:spacing w:after="0" w:line="96" w:lineRule="auto"/>
      </w:pPr>
    </w:p>
    <w:p>
      <w:pPr>
        <w:pStyle w:val="Heading1"/>
      </w:pPr>
      <w:r>
        <w:t>10. Discrete learned focal search</w:t>
      </w:r>
    </w:p>
    <w:p>
      <w:pPr/>
      <w:r>
        <w:rPr>
          <w:b/>
          <w:color w:val="1F4D78"/>
        </w:rPr>
        <w:t xml:space="preserve">Why it mattered: </w:t>
      </w:r>
      <w:r>
        <w:t>The discrete learned residual appeared marginal or harmful when added to Manhattan distance. A diagnostic showed that the model’s ranking was excellent while its magnitude failed to scale with map size. This separated a model failure from an integration failure.</w:t>
      </w:r>
    </w:p>
    <w:tbl>
      <w:tblPr>
        <w:tblW w:type="dxa" w:w="9360"/>
        <w:tblLayout w:type="fixed"/>
        <w:tblLook w:firstColumn="1" w:firstRow="1" w:lastColumn="0" w:lastRow="0" w:noHBand="0" w:noVBand="1" w:val="04A0"/>
        <w:jc w:val="left"/>
        <w:tblInd w:w="120" w:type="dxa"/>
        <w:tblBorders>
          <w:top w:val="single" w:sz="4" w:space="0" w:color="C9D2DD"/>
          <w:left w:val="single" w:sz="4" w:space="0" w:color="C9D2DD"/>
          <w:bottom w:val="single" w:sz="4" w:space="0" w:color="C9D2DD"/>
          <w:right w:val="single" w:sz="4" w:space="0" w:color="C9D2DD"/>
          <w:insideH w:val="single" w:sz="4" w:space="0" w:color="C9D2DD"/>
          <w:insideV w:val="single" w:sz="4" w:space="0" w:color="C9D2DD"/>
        </w:tblBorders>
      </w:tblPr>
      <w:tblGrid>
        <w:gridCol w:w="1300"/>
        <w:gridCol w:w="2500"/>
        <w:gridCol w:w="1700"/>
        <w:gridCol w:w="1700"/>
        <w:gridCol w:w="2160"/>
      </w:tblGrid>
      <w:tr>
        <w:trPr>
          <w:cantSplit/>
          <w:tblHeader w:val="true"/>
          <w:cantSplit/>
        </w:trPr>
        <w:tc>
          <w:tcPr>
            <w:tcW w:type="dxa" w:w="130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Map size</w:t>
            </w:r>
          </w:p>
        </w:tc>
        <w:tc>
          <w:tcPr>
            <w:tcW w:type="dxa" w:w="250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Correlation to true residual</w:t>
            </w:r>
          </w:p>
        </w:tc>
        <w:tc>
          <w:tcPr>
            <w:tcW w:type="dxa" w:w="170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Predicted mean</w:t>
            </w:r>
          </w:p>
        </w:tc>
        <w:tc>
          <w:tcPr>
            <w:tcW w:type="dxa" w:w="170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True mean</w:t>
            </w:r>
          </w:p>
        </w:tc>
        <w:tc>
          <w:tcPr>
            <w:tcW w:type="dxa" w:w="216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Pred / true</w:t>
            </w:r>
          </w:p>
        </w:tc>
      </w:tr>
      <w:tr>
        <w:trPr>
          <w:cantSplit/>
          <w:cantSplit/>
        </w:trPr>
        <w:tc>
          <w:tcPr>
            <w:tcW w:type="dxa" w:w="1300"/>
            <w:tcMar>
              <w:top w:w="80" w:type="dxa"/>
              <w:start w:w="120" w:type="dxa"/>
              <w:bottom w:w="80" w:type="dxa"/>
              <w:end w:w="120" w:type="dxa"/>
            </w:tcMar>
            <w:vAlign w:val="top"/>
          </w:tcPr>
          <w:p>
            <w:pPr>
              <w:pStyle w:val="TableBody"/>
            </w:pPr>
            <w:r>
              <w:rPr>
                <w:rFonts w:ascii="Calibri" w:hAnsi="Calibri" w:eastAsia="Calibri"/>
                <w:b w:val="0"/>
                <w:color w:val="222222"/>
                <w:sz w:val="18"/>
              </w:rPr>
              <w:t>64</w:t>
            </w:r>
          </w:p>
        </w:tc>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0.987</w:t>
            </w:r>
          </w:p>
        </w:tc>
        <w:tc>
          <w:tcPr>
            <w:tcW w:type="dxa" w:w="1700"/>
            <w:tcMar>
              <w:top w:w="80" w:type="dxa"/>
              <w:start w:w="120" w:type="dxa"/>
              <w:bottom w:w="80" w:type="dxa"/>
              <w:end w:w="120" w:type="dxa"/>
            </w:tcMar>
            <w:vAlign w:val="top"/>
          </w:tcPr>
          <w:p>
            <w:pPr>
              <w:pStyle w:val="TableBody"/>
            </w:pPr>
            <w:r>
              <w:rPr>
                <w:rFonts w:ascii="Calibri" w:hAnsi="Calibri" w:eastAsia="Calibri"/>
                <w:b w:val="0"/>
                <w:color w:val="222222"/>
                <w:sz w:val="18"/>
              </w:rPr>
              <w:t>88</w:t>
            </w:r>
          </w:p>
        </w:tc>
        <w:tc>
          <w:tcPr>
            <w:tcW w:type="dxa" w:w="1700"/>
            <w:tcMar>
              <w:top w:w="80" w:type="dxa"/>
              <w:start w:w="120" w:type="dxa"/>
              <w:bottom w:w="80" w:type="dxa"/>
              <w:end w:w="120" w:type="dxa"/>
            </w:tcMar>
            <w:vAlign w:val="top"/>
          </w:tcPr>
          <w:p>
            <w:pPr>
              <w:pStyle w:val="TableBody"/>
            </w:pPr>
            <w:r>
              <w:rPr>
                <w:rFonts w:ascii="Calibri" w:hAnsi="Calibri" w:eastAsia="Calibri"/>
                <w:b w:val="0"/>
                <w:color w:val="222222"/>
                <w:sz w:val="18"/>
              </w:rPr>
              <w:t>121</w:t>
            </w:r>
          </w:p>
        </w:tc>
        <w:tc>
          <w:tcPr>
            <w:tcW w:type="dxa" w:w="2160"/>
            <w:tcMar>
              <w:top w:w="80" w:type="dxa"/>
              <w:start w:w="120" w:type="dxa"/>
              <w:bottom w:w="80" w:type="dxa"/>
              <w:end w:w="120" w:type="dxa"/>
            </w:tcMar>
            <w:vAlign w:val="top"/>
          </w:tcPr>
          <w:p>
            <w:pPr>
              <w:pStyle w:val="TableBody"/>
            </w:pPr>
            <w:r>
              <w:rPr>
                <w:rFonts w:ascii="Calibri" w:hAnsi="Calibri" w:eastAsia="Calibri"/>
                <w:b w:val="0"/>
                <w:color w:val="222222"/>
                <w:sz w:val="18"/>
              </w:rPr>
              <w:t>0.73</w:t>
            </w:r>
          </w:p>
        </w:tc>
      </w:tr>
      <w:tr>
        <w:trPr>
          <w:cantSplit/>
          <w:cantSplit/>
        </w:trPr>
        <w:tc>
          <w:tcPr>
            <w:tcW w:type="dxa" w:w="1300"/>
            <w:tcMar>
              <w:top w:w="80" w:type="dxa"/>
              <w:start w:w="120" w:type="dxa"/>
              <w:bottom w:w="80" w:type="dxa"/>
              <w:end w:w="120" w:type="dxa"/>
            </w:tcMar>
            <w:vAlign w:val="top"/>
          </w:tcPr>
          <w:p>
            <w:pPr>
              <w:pStyle w:val="TableBody"/>
            </w:pPr>
            <w:r>
              <w:rPr>
                <w:rFonts w:ascii="Calibri" w:hAnsi="Calibri" w:eastAsia="Calibri"/>
                <w:b w:val="0"/>
                <w:color w:val="222222"/>
                <w:sz w:val="18"/>
              </w:rPr>
              <w:t>128</w:t>
            </w:r>
          </w:p>
        </w:tc>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0.992</w:t>
            </w:r>
          </w:p>
        </w:tc>
        <w:tc>
          <w:tcPr>
            <w:tcW w:type="dxa" w:w="1700"/>
            <w:tcMar>
              <w:top w:w="80" w:type="dxa"/>
              <w:start w:w="120" w:type="dxa"/>
              <w:bottom w:w="80" w:type="dxa"/>
              <w:end w:w="120" w:type="dxa"/>
            </w:tcMar>
            <w:vAlign w:val="top"/>
          </w:tcPr>
          <w:p>
            <w:pPr>
              <w:pStyle w:val="TableBody"/>
            </w:pPr>
            <w:r>
              <w:rPr>
                <w:rFonts w:ascii="Calibri" w:hAnsi="Calibri" w:eastAsia="Calibri"/>
                <w:b w:val="0"/>
                <w:color w:val="222222"/>
                <w:sz w:val="18"/>
              </w:rPr>
              <w:t>105</w:t>
            </w:r>
          </w:p>
        </w:tc>
        <w:tc>
          <w:tcPr>
            <w:tcW w:type="dxa" w:w="1700"/>
            <w:tcMar>
              <w:top w:w="80" w:type="dxa"/>
              <w:start w:w="120" w:type="dxa"/>
              <w:bottom w:w="80" w:type="dxa"/>
              <w:end w:w="120" w:type="dxa"/>
            </w:tcMar>
            <w:vAlign w:val="top"/>
          </w:tcPr>
          <w:p>
            <w:pPr>
              <w:pStyle w:val="TableBody"/>
            </w:pPr>
            <w:r>
              <w:rPr>
                <w:rFonts w:ascii="Calibri" w:hAnsi="Calibri" w:eastAsia="Calibri"/>
                <w:b w:val="0"/>
                <w:color w:val="222222"/>
                <w:sz w:val="18"/>
              </w:rPr>
              <w:t>249</w:t>
            </w:r>
          </w:p>
        </w:tc>
        <w:tc>
          <w:tcPr>
            <w:tcW w:type="dxa" w:w="2160"/>
            <w:tcMar>
              <w:top w:w="80" w:type="dxa"/>
              <w:start w:w="120" w:type="dxa"/>
              <w:bottom w:w="80" w:type="dxa"/>
              <w:end w:w="120" w:type="dxa"/>
            </w:tcMar>
            <w:vAlign w:val="top"/>
          </w:tcPr>
          <w:p>
            <w:pPr>
              <w:pStyle w:val="TableBody"/>
            </w:pPr>
            <w:r>
              <w:rPr>
                <w:rFonts w:ascii="Calibri" w:hAnsi="Calibri" w:eastAsia="Calibri"/>
                <w:b w:val="0"/>
                <w:color w:val="222222"/>
                <w:sz w:val="18"/>
              </w:rPr>
              <w:t>0.42</w:t>
            </w:r>
          </w:p>
        </w:tc>
      </w:tr>
      <w:tr>
        <w:trPr>
          <w:cantSplit/>
          <w:cantSplit/>
        </w:trPr>
        <w:tc>
          <w:tcPr>
            <w:tcW w:type="dxa" w:w="1300"/>
            <w:tcMar>
              <w:top w:w="80" w:type="dxa"/>
              <w:start w:w="120" w:type="dxa"/>
              <w:bottom w:w="80" w:type="dxa"/>
              <w:end w:w="120" w:type="dxa"/>
            </w:tcMar>
            <w:vAlign w:val="top"/>
          </w:tcPr>
          <w:p>
            <w:pPr>
              <w:pStyle w:val="TableBody"/>
            </w:pPr>
            <w:r>
              <w:rPr>
                <w:rFonts w:ascii="Calibri" w:hAnsi="Calibri" w:eastAsia="Calibri"/>
                <w:b w:val="0"/>
                <w:color w:val="222222"/>
                <w:sz w:val="18"/>
              </w:rPr>
              <w:t>192</w:t>
            </w:r>
          </w:p>
        </w:tc>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0.994</w:t>
            </w:r>
          </w:p>
        </w:tc>
        <w:tc>
          <w:tcPr>
            <w:tcW w:type="dxa" w:w="1700"/>
            <w:tcMar>
              <w:top w:w="80" w:type="dxa"/>
              <w:start w:w="120" w:type="dxa"/>
              <w:bottom w:w="80" w:type="dxa"/>
              <w:end w:w="120" w:type="dxa"/>
            </w:tcMar>
            <w:vAlign w:val="top"/>
          </w:tcPr>
          <w:p>
            <w:pPr>
              <w:pStyle w:val="TableBody"/>
            </w:pPr>
            <w:r>
              <w:rPr>
                <w:rFonts w:ascii="Calibri" w:hAnsi="Calibri" w:eastAsia="Calibri"/>
                <w:b w:val="0"/>
                <w:color w:val="222222"/>
                <w:sz w:val="18"/>
              </w:rPr>
              <w:t>94</w:t>
            </w:r>
          </w:p>
        </w:tc>
        <w:tc>
          <w:tcPr>
            <w:tcW w:type="dxa" w:w="1700"/>
            <w:tcMar>
              <w:top w:w="80" w:type="dxa"/>
              <w:start w:w="120" w:type="dxa"/>
              <w:bottom w:w="80" w:type="dxa"/>
              <w:end w:w="120" w:type="dxa"/>
            </w:tcMar>
            <w:vAlign w:val="top"/>
          </w:tcPr>
          <w:p>
            <w:pPr>
              <w:pStyle w:val="TableBody"/>
            </w:pPr>
            <w:r>
              <w:rPr>
                <w:rFonts w:ascii="Calibri" w:hAnsi="Calibri" w:eastAsia="Calibri"/>
                <w:b w:val="0"/>
                <w:color w:val="222222"/>
                <w:sz w:val="18"/>
              </w:rPr>
              <w:t>345</w:t>
            </w:r>
          </w:p>
        </w:tc>
        <w:tc>
          <w:tcPr>
            <w:tcW w:type="dxa" w:w="2160"/>
            <w:tcMar>
              <w:top w:w="80" w:type="dxa"/>
              <w:start w:w="120" w:type="dxa"/>
              <w:bottom w:w="80" w:type="dxa"/>
              <w:end w:w="120" w:type="dxa"/>
            </w:tcMar>
            <w:vAlign w:val="top"/>
          </w:tcPr>
          <w:p>
            <w:pPr>
              <w:pStyle w:val="TableBody"/>
            </w:pPr>
            <w:r>
              <w:rPr>
                <w:rFonts w:ascii="Calibri" w:hAnsi="Calibri" w:eastAsia="Calibri"/>
                <w:b w:val="0"/>
                <w:color w:val="222222"/>
                <w:sz w:val="18"/>
              </w:rPr>
              <w:t>0.27</w:t>
            </w:r>
          </w:p>
        </w:tc>
      </w:tr>
      <w:tr>
        <w:trPr>
          <w:cantSplit/>
          <w:cantSplit/>
        </w:trPr>
        <w:tc>
          <w:tcPr>
            <w:tcW w:type="dxa" w:w="1300"/>
            <w:tcMar>
              <w:top w:w="80" w:type="dxa"/>
              <w:start w:w="120" w:type="dxa"/>
              <w:bottom w:w="80" w:type="dxa"/>
              <w:end w:w="120" w:type="dxa"/>
            </w:tcMar>
            <w:vAlign w:val="top"/>
          </w:tcPr>
          <w:p>
            <w:pPr>
              <w:pStyle w:val="TableBody"/>
            </w:pPr>
            <w:r>
              <w:rPr>
                <w:rFonts w:ascii="Calibri" w:hAnsi="Calibri" w:eastAsia="Calibri"/>
                <w:b w:val="0"/>
                <w:color w:val="222222"/>
                <w:sz w:val="18"/>
              </w:rPr>
              <w:t>256</w:t>
            </w:r>
          </w:p>
        </w:tc>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0.992</w:t>
            </w:r>
          </w:p>
        </w:tc>
        <w:tc>
          <w:tcPr>
            <w:tcW w:type="dxa" w:w="1700"/>
            <w:tcMar>
              <w:top w:w="80" w:type="dxa"/>
              <w:start w:w="120" w:type="dxa"/>
              <w:bottom w:w="80" w:type="dxa"/>
              <w:end w:w="120" w:type="dxa"/>
            </w:tcMar>
            <w:vAlign w:val="top"/>
          </w:tcPr>
          <w:p>
            <w:pPr>
              <w:pStyle w:val="TableBody"/>
            </w:pPr>
            <w:r>
              <w:rPr>
                <w:rFonts w:ascii="Calibri" w:hAnsi="Calibri" w:eastAsia="Calibri"/>
                <w:b w:val="0"/>
                <w:color w:val="222222"/>
                <w:sz w:val="18"/>
              </w:rPr>
              <w:t>96</w:t>
            </w:r>
          </w:p>
        </w:tc>
        <w:tc>
          <w:tcPr>
            <w:tcW w:type="dxa" w:w="1700"/>
            <w:tcMar>
              <w:top w:w="80" w:type="dxa"/>
              <w:start w:w="120" w:type="dxa"/>
              <w:bottom w:w="80" w:type="dxa"/>
              <w:end w:w="120" w:type="dxa"/>
            </w:tcMar>
            <w:vAlign w:val="top"/>
          </w:tcPr>
          <w:p>
            <w:pPr>
              <w:pStyle w:val="TableBody"/>
            </w:pPr>
            <w:r>
              <w:rPr>
                <w:rFonts w:ascii="Calibri" w:hAnsi="Calibri" w:eastAsia="Calibri"/>
                <w:b w:val="0"/>
                <w:color w:val="222222"/>
                <w:sz w:val="18"/>
              </w:rPr>
              <w:t>493</w:t>
            </w:r>
          </w:p>
        </w:tc>
        <w:tc>
          <w:tcPr>
            <w:tcW w:type="dxa" w:w="2160"/>
            <w:tcMar>
              <w:top w:w="80" w:type="dxa"/>
              <w:start w:w="120" w:type="dxa"/>
              <w:bottom w:w="80" w:type="dxa"/>
              <w:end w:w="120" w:type="dxa"/>
            </w:tcMar>
            <w:vAlign w:val="top"/>
          </w:tcPr>
          <w:p>
            <w:pPr>
              <w:pStyle w:val="TableBody"/>
            </w:pPr>
            <w:r>
              <w:rPr>
                <w:rFonts w:ascii="Calibri" w:hAnsi="Calibri" w:eastAsia="Calibri"/>
                <w:b w:val="0"/>
                <w:color w:val="222222"/>
                <w:sz w:val="18"/>
              </w:rPr>
              <w:t>0.19</w:t>
            </w:r>
          </w:p>
        </w:tc>
      </w:tr>
    </w:tbl>
    <w:p>
      <w:pPr>
        <w:spacing w:after="20"/>
      </w:pPr>
    </w:p>
    <w:p>
      <w:pPr/>
      <w:r>
        <w:rPr>
          <w:b/>
          <w:color w:val="1F4D78"/>
        </w:rPr>
        <w:t xml:space="preserve">Diagnosis: </w:t>
      </w:r>
      <w:r>
        <w:t>The learned signal preserved state ordering (correlation ≈0.99) but stayed near 90–105 while the true residual grew to 493. A global additive alpha tuned on small maps was pushed to its 0.5 floor and suppressed the useful ranking on large maps.</w:t>
      </w:r>
    </w:p>
    <w:p>
      <w:pPr/>
      <w:r>
        <w:rPr>
          <w:b/>
          <w:color w:val="1F4D78"/>
        </w:rPr>
        <w:t xml:space="preserve">Methodology: </w:t>
      </w:r>
      <w:r>
        <w:t>Learned focal search (A*epsilon) keeps OPEN ordered by admissible f=g+Manhattan. It forms a focal band f≤w·f_min and uses the learned Manhattan+residual only to rank nodes inside that band. At w=1.0 the model acts as a tie-breaker; w=1.05 widens reliance while preserving a configured cost bound. No retraining was required. The firm HRM sweep used eight seeds at budget 200; ON-LSTM used four; expert comparisons used three to four seeds at budgets 150–200.</w:t>
      </w:r>
    </w:p>
    <w:tbl>
      <w:tblPr>
        <w:tblW w:type="dxa" w:w="9360"/>
        <w:tblLayout w:type="fixed"/>
        <w:tblLook w:firstColumn="1" w:firstRow="1" w:lastColumn="0" w:lastRow="0" w:noHBand="0" w:noVBand="1" w:val="04A0"/>
        <w:jc w:val="left"/>
        <w:tblInd w:w="120" w:type="dxa"/>
        <w:tblBorders>
          <w:top w:val="single" w:sz="4" w:space="0" w:color="C9D2DD"/>
          <w:left w:val="single" w:sz="4" w:space="0" w:color="C9D2DD"/>
          <w:bottom w:val="single" w:sz="4" w:space="0" w:color="C9D2DD"/>
          <w:right w:val="single" w:sz="4" w:space="0" w:color="C9D2DD"/>
          <w:insideH w:val="single" w:sz="4" w:space="0" w:color="C9D2DD"/>
          <w:insideV w:val="single" w:sz="4" w:space="0" w:color="C9D2DD"/>
        </w:tblBorders>
      </w:tblPr>
      <w:tblGrid>
        <w:gridCol w:w="3500"/>
        <w:gridCol w:w="2500"/>
        <w:gridCol w:w="3360"/>
      </w:tblGrid>
      <w:tr>
        <w:trPr>
          <w:cantSplit/>
          <w:tblHeader w:val="true"/>
          <w:cantSplit/>
        </w:trPr>
        <w:tc>
          <w:tcPr>
            <w:tcW w:type="dxa" w:w="350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Backbone / suite</w:t>
            </w:r>
          </w:p>
        </w:tc>
        <w:tc>
          <w:tcPr>
            <w:tcW w:type="dxa" w:w="250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Median expansion ratio</w:t>
            </w:r>
          </w:p>
        </w:tc>
        <w:tc>
          <w:tcPr>
            <w:tcW w:type="dxa" w:w="3360"/>
            <w:tcMar>
              <w:top w:w="80" w:type="dxa"/>
              <w:start w:w="120" w:type="dxa"/>
              <w:bottom w:w="80" w:type="dxa"/>
              <w:end w:w="120" w:type="dxa"/>
            </w:tcMar>
            <w:vAlign w:val="top"/>
            <w:shd w:fill="E8EEF5" w:val="clear"/>
          </w:tcPr>
          <w:p>
            <w:pPr>
              <w:pStyle w:val="TableBody"/>
            </w:pPr>
            <w:r>
              <w:rPr>
                <w:rFonts w:ascii="Calibri" w:hAnsi="Calibri" w:eastAsia="Calibri"/>
                <w:b/>
                <w:color w:val="0B2545"/>
                <w:sz w:val="18"/>
              </w:rPr>
              <w:t>Success baseline → focal</w:t>
            </w:r>
          </w:p>
        </w:tc>
      </w:tr>
      <w:tr>
        <w:trPr>
          <w:cantSplit/>
          <w:cantSplit/>
        </w:trPr>
        <w:tc>
          <w:tcPr>
            <w:tcW w:type="dxa" w:w="3500"/>
            <w:tcMar>
              <w:top w:w="80" w:type="dxa"/>
              <w:start w:w="120" w:type="dxa"/>
              <w:bottom w:w="80" w:type="dxa"/>
              <w:end w:w="120" w:type="dxa"/>
            </w:tcMar>
            <w:vAlign w:val="top"/>
          </w:tcPr>
          <w:p>
            <w:pPr>
              <w:pStyle w:val="TableBody"/>
            </w:pPr>
            <w:r>
              <w:rPr>
                <w:rFonts w:ascii="Calibri" w:hAnsi="Calibri" w:eastAsia="Calibri"/>
                <w:b w:val="0"/>
                <w:color w:val="222222"/>
                <w:sz w:val="18"/>
              </w:rPr>
              <w:t>HRM / A128 static</w:t>
            </w:r>
          </w:p>
        </w:tc>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0.85</w:t>
            </w:r>
          </w:p>
        </w:tc>
        <w:tc>
          <w:tcPr>
            <w:tcW w:type="dxa" w:w="3360"/>
            <w:tcMar>
              <w:top w:w="80" w:type="dxa"/>
              <w:start w:w="120" w:type="dxa"/>
              <w:bottom w:w="80" w:type="dxa"/>
              <w:end w:w="120" w:type="dxa"/>
            </w:tcMar>
            <w:vAlign w:val="top"/>
          </w:tcPr>
          <w:p>
            <w:pPr>
              <w:pStyle w:val="TableBody"/>
            </w:pPr>
            <w:r>
              <w:rPr>
                <w:rFonts w:ascii="Calibri" w:hAnsi="Calibri" w:eastAsia="Calibri"/>
                <w:b w:val="0"/>
                <w:color w:val="222222"/>
                <w:sz w:val="18"/>
              </w:rPr>
              <w:t>0.62 → 0.75</w:t>
            </w:r>
          </w:p>
        </w:tc>
      </w:tr>
      <w:tr>
        <w:trPr>
          <w:cantSplit/>
          <w:cantSplit/>
        </w:trPr>
        <w:tc>
          <w:tcPr>
            <w:tcW w:type="dxa" w:w="3500"/>
            <w:tcMar>
              <w:top w:w="80" w:type="dxa"/>
              <w:start w:w="120" w:type="dxa"/>
              <w:bottom w:w="80" w:type="dxa"/>
              <w:end w:w="120" w:type="dxa"/>
            </w:tcMar>
            <w:vAlign w:val="top"/>
          </w:tcPr>
          <w:p>
            <w:pPr>
              <w:pStyle w:val="TableBody"/>
            </w:pPr>
            <w:r>
              <w:rPr>
                <w:rFonts w:ascii="Calibri" w:hAnsi="Calibri" w:eastAsia="Calibri"/>
                <w:b w:val="0"/>
                <w:color w:val="222222"/>
                <w:sz w:val="18"/>
              </w:rPr>
              <w:t>HRM / A192 static</w:t>
            </w:r>
          </w:p>
        </w:tc>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0.94</w:t>
            </w:r>
          </w:p>
        </w:tc>
        <w:tc>
          <w:tcPr>
            <w:tcW w:type="dxa" w:w="3360"/>
            <w:tcMar>
              <w:top w:w="80" w:type="dxa"/>
              <w:start w:w="120" w:type="dxa"/>
              <w:bottom w:w="80" w:type="dxa"/>
              <w:end w:w="120" w:type="dxa"/>
            </w:tcMar>
            <w:vAlign w:val="top"/>
          </w:tcPr>
          <w:p>
            <w:pPr>
              <w:pStyle w:val="TableBody"/>
            </w:pPr>
            <w:r>
              <w:rPr>
                <w:rFonts w:ascii="Calibri" w:hAnsi="Calibri" w:eastAsia="Calibri"/>
                <w:b w:val="0"/>
                <w:color w:val="222222"/>
                <w:sz w:val="18"/>
              </w:rPr>
              <w:t>0.75 → 0.75</w:t>
            </w:r>
          </w:p>
        </w:tc>
      </w:tr>
      <w:tr>
        <w:trPr>
          <w:cantSplit/>
          <w:cantSplit/>
        </w:trPr>
        <w:tc>
          <w:tcPr>
            <w:tcW w:type="dxa" w:w="3500"/>
            <w:tcMar>
              <w:top w:w="80" w:type="dxa"/>
              <w:start w:w="120" w:type="dxa"/>
              <w:bottom w:w="80" w:type="dxa"/>
              <w:end w:w="120" w:type="dxa"/>
            </w:tcMar>
            <w:vAlign w:val="top"/>
          </w:tcPr>
          <w:p>
            <w:pPr>
              <w:pStyle w:val="TableBody"/>
            </w:pPr>
            <w:r>
              <w:rPr>
                <w:rFonts w:ascii="Calibri" w:hAnsi="Calibri" w:eastAsia="Calibri"/>
                <w:b w:val="0"/>
                <w:color w:val="222222"/>
                <w:sz w:val="18"/>
              </w:rPr>
              <w:t>HRM / A128 moderate dynamics</w:t>
            </w:r>
          </w:p>
        </w:tc>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0.93</w:t>
            </w:r>
          </w:p>
        </w:tc>
        <w:tc>
          <w:tcPr>
            <w:tcW w:type="dxa" w:w="3360"/>
            <w:tcMar>
              <w:top w:w="80" w:type="dxa"/>
              <w:start w:w="120" w:type="dxa"/>
              <w:bottom w:w="80" w:type="dxa"/>
              <w:end w:w="120" w:type="dxa"/>
            </w:tcMar>
            <w:vAlign w:val="top"/>
          </w:tcPr>
          <w:p>
            <w:pPr>
              <w:pStyle w:val="TableBody"/>
            </w:pPr>
            <w:r>
              <w:rPr>
                <w:rFonts w:ascii="Calibri" w:hAnsi="Calibri" w:eastAsia="Calibri"/>
                <w:b w:val="0"/>
                <w:color w:val="222222"/>
                <w:sz w:val="18"/>
              </w:rPr>
              <w:t>0.62 → 0.62</w:t>
            </w:r>
          </w:p>
        </w:tc>
      </w:tr>
      <w:tr>
        <w:trPr>
          <w:cantSplit/>
          <w:cantSplit/>
        </w:trPr>
        <w:tc>
          <w:tcPr>
            <w:tcW w:type="dxa" w:w="3500"/>
            <w:tcMar>
              <w:top w:w="80" w:type="dxa"/>
              <w:start w:w="120" w:type="dxa"/>
              <w:bottom w:w="80" w:type="dxa"/>
              <w:end w:w="120" w:type="dxa"/>
            </w:tcMar>
            <w:vAlign w:val="top"/>
          </w:tcPr>
          <w:p>
            <w:pPr>
              <w:pStyle w:val="TableBody"/>
            </w:pPr>
            <w:r>
              <w:rPr>
                <w:rFonts w:ascii="Calibri" w:hAnsi="Calibri" w:eastAsia="Calibri"/>
                <w:b w:val="0"/>
                <w:color w:val="222222"/>
                <w:sz w:val="18"/>
              </w:rPr>
              <w:t>ON-LSTM / A128 static</w:t>
            </w:r>
          </w:p>
        </w:tc>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0.85</w:t>
            </w:r>
          </w:p>
        </w:tc>
        <w:tc>
          <w:tcPr>
            <w:tcW w:type="dxa" w:w="3360"/>
            <w:tcMar>
              <w:top w:w="80" w:type="dxa"/>
              <w:start w:w="120" w:type="dxa"/>
              <w:bottom w:w="80" w:type="dxa"/>
              <w:end w:w="120" w:type="dxa"/>
            </w:tcMar>
            <w:vAlign w:val="top"/>
          </w:tcPr>
          <w:p>
            <w:pPr>
              <w:pStyle w:val="TableBody"/>
            </w:pPr>
            <w:r>
              <w:rPr>
                <w:rFonts w:ascii="Calibri" w:hAnsi="Calibri" w:eastAsia="Calibri"/>
                <w:b w:val="0"/>
                <w:color w:val="222222"/>
                <w:sz w:val="18"/>
              </w:rPr>
              <w:t>0.75 → 0.75</w:t>
            </w:r>
          </w:p>
        </w:tc>
      </w:tr>
      <w:tr>
        <w:trPr>
          <w:cantSplit/>
          <w:cantSplit/>
        </w:trPr>
        <w:tc>
          <w:tcPr>
            <w:tcW w:type="dxa" w:w="3500"/>
            <w:tcMar>
              <w:top w:w="80" w:type="dxa"/>
              <w:start w:w="120" w:type="dxa"/>
              <w:bottom w:w="80" w:type="dxa"/>
              <w:end w:w="120" w:type="dxa"/>
            </w:tcMar>
            <w:vAlign w:val="top"/>
          </w:tcPr>
          <w:p>
            <w:pPr>
              <w:pStyle w:val="TableBody"/>
            </w:pPr>
            <w:r>
              <w:rPr>
                <w:rFonts w:ascii="Calibri" w:hAnsi="Calibri" w:eastAsia="Calibri"/>
                <w:b w:val="0"/>
                <w:color w:val="222222"/>
                <w:sz w:val="18"/>
              </w:rPr>
              <w:t>ON-LSTM / A192 static</w:t>
            </w:r>
          </w:p>
        </w:tc>
        <w:tc>
          <w:tcPr>
            <w:tcW w:type="dxa" w:w="2500"/>
            <w:tcMar>
              <w:top w:w="80" w:type="dxa"/>
              <w:start w:w="120" w:type="dxa"/>
              <w:bottom w:w="80" w:type="dxa"/>
              <w:end w:w="120" w:type="dxa"/>
            </w:tcMar>
            <w:vAlign w:val="top"/>
          </w:tcPr>
          <w:p>
            <w:pPr>
              <w:pStyle w:val="TableBody"/>
            </w:pPr>
            <w:r>
              <w:rPr>
                <w:rFonts w:ascii="Calibri" w:hAnsi="Calibri" w:eastAsia="Calibri"/>
                <w:b w:val="0"/>
                <w:color w:val="222222"/>
                <w:sz w:val="18"/>
              </w:rPr>
              <w:t>0.85</w:t>
            </w:r>
          </w:p>
        </w:tc>
        <w:tc>
          <w:tcPr>
            <w:tcW w:type="dxa" w:w="3360"/>
            <w:tcMar>
              <w:top w:w="80" w:type="dxa"/>
              <w:start w:w="120" w:type="dxa"/>
              <w:bottom w:w="80" w:type="dxa"/>
              <w:end w:w="120" w:type="dxa"/>
            </w:tcMar>
            <w:vAlign w:val="top"/>
          </w:tcPr>
          <w:p>
            <w:pPr>
              <w:pStyle w:val="TableBody"/>
            </w:pPr>
            <w:r>
              <w:rPr>
                <w:rFonts w:ascii="Calibri" w:hAnsi="Calibri" w:eastAsia="Calibri"/>
                <w:b w:val="0"/>
                <w:color w:val="222222"/>
                <w:sz w:val="18"/>
              </w:rPr>
              <w:t>0.75 → 0.75</w:t>
            </w:r>
          </w:p>
        </w:tc>
      </w:tr>
    </w:tbl>
    <w:p>
      <w:pPr>
        <w:spacing w:after="20"/>
      </w:pPr>
    </w:p>
    <w:p>
      <w:pPr/>
      <w:r>
        <w:rPr>
          <w:b/>
          <w:color w:val="1F4D78"/>
        </w:rPr>
        <w:t xml:space="preserve">Result: </w:t>
      </w:r>
      <w:r>
        <w:t>At w=1.0, focal search used 6–15% fewer expansions with no observed success regression in the tested cells; HRM A128 improved success from 0.62 to 0.75. At w=1.05, A128 dynamics improved more but A192 static success fell from 0.75 to 0.62. Per-task LoRA experts exactly matched the pooled base’s ordering, so specialization added nothing.</w:t>
      </w:r>
    </w:p>
    <w:p>
      <w:pPr/>
      <w:r>
        <w:rPr>
          <w:b/>
          <w:color w:val="1F4D78"/>
        </w:rPr>
        <w:t xml:space="preserve">Reasoning: </w:t>
      </w:r>
      <w:r>
        <w:t>The same learned weights changed from net-harmful to net-positive when the planner consumed the signal in the form it had actually learned: ranking. This is the clearest cross-space demonstration that interface design can dominate architecture choice.</w:t>
      </w:r>
    </w:p>
    <w:p>
      <w:pPr/>
      <w:r>
        <w:rPr>
          <w:b/>
          <w:color w:val="1F4D78"/>
        </w:rPr>
        <w:t xml:space="preserve">Limitations: </w:t>
      </w:r>
      <w:r>
        <w:t>Local pilot, 3–8 seeds, budgets 150–200, no A256 or 22-suite sweep, and no formal uncertainty. ‘Regression-free’ means no observed regression in tested w=1.0 cells, not a finite-budget theorem.</w:t>
      </w:r>
    </w:p>
    <w:p>
      <w:pPr>
        <w:pStyle w:val="Heading1"/>
      </w:pPr>
      <w:r>
        <w:t>11. Unified scientific interpretation</w:t>
      </w:r>
    </w:p>
    <w:tbl>
      <w:tblPr>
        <w:tblW w:type="dxa" w:w="9360"/>
        <w:tblLayout w:type="fixed"/>
        <w:tblLook w:firstColumn="1" w:firstRow="1" w:lastColumn="0" w:lastRow="0" w:noHBand="0" w:noVBand="1" w:val="04A0"/>
        <w:jc w:val="left"/>
        <w:tblInd w:w="120" w:type="dxa"/>
        <w:tblBorders>
          <w:top w:val="single" w:sz="4" w:space="0" w:color="C9D2DD"/>
          <w:left w:val="single" w:sz="4" w:space="0" w:color="C9D2DD"/>
          <w:bottom w:val="single" w:sz="4" w:space="0" w:color="C9D2DD"/>
          <w:right w:val="single" w:sz="4" w:space="0" w:color="C9D2DD"/>
          <w:insideH w:val="single" w:sz="4" w:space="0" w:color="C9D2DD"/>
          <w:insideV w:val="single" w:sz="4" w:space="0" w:color="C9D2DD"/>
        </w:tblBorders>
      </w:tblPr>
      <w:tblGrid>
        <w:gridCol w:w="1700"/>
        <w:gridCol w:w="2400"/>
        <w:gridCol w:w="2850"/>
        <w:gridCol w:w="2410"/>
      </w:tblGrid>
      <w:tr>
        <w:trPr>
          <w:cantSplit/>
          <w:tblHeader w:val="true"/>
          <w:cantSplit/>
        </w:trPr>
        <w:tc>
          <w:tcPr>
            <w:tcW w:type="dxa" w:w="1700"/>
            <w:tcMar>
              <w:top w:w="80" w:type="dxa"/>
              <w:start w:w="120" w:type="dxa"/>
              <w:bottom w:w="80" w:type="dxa"/>
              <w:end w:w="120" w:type="dxa"/>
            </w:tcMar>
            <w:vAlign w:val="top"/>
            <w:shd w:fill="E8EEF5" w:val="clear"/>
          </w:tcPr>
          <w:p>
            <w:pPr>
              <w:pStyle w:val="CompactTable"/>
            </w:pPr>
            <w:r>
              <w:rPr>
                <w:rFonts w:ascii="Calibri" w:hAnsi="Calibri" w:eastAsia="Calibri"/>
                <w:b/>
                <w:color w:val="0B2545"/>
                <w:sz w:val="17"/>
              </w:rPr>
              <w:t>Harness layer</w:t>
            </w:r>
          </w:p>
        </w:tc>
        <w:tc>
          <w:tcPr>
            <w:tcW w:type="dxa" w:w="2400"/>
            <w:tcMar>
              <w:top w:w="80" w:type="dxa"/>
              <w:start w:w="120" w:type="dxa"/>
              <w:bottom w:w="80" w:type="dxa"/>
              <w:end w:w="120" w:type="dxa"/>
            </w:tcMar>
            <w:vAlign w:val="top"/>
            <w:shd w:fill="E8EEF5" w:val="clear"/>
          </w:tcPr>
          <w:p>
            <w:pPr>
              <w:pStyle w:val="CompactTable"/>
            </w:pPr>
            <w:r>
              <w:rPr>
                <w:rFonts w:ascii="Calibri" w:hAnsi="Calibri" w:eastAsia="Calibri"/>
                <w:b/>
                <w:color w:val="0B2545"/>
                <w:sz w:val="17"/>
              </w:rPr>
              <w:t>Failure mode</w:t>
            </w:r>
          </w:p>
        </w:tc>
        <w:tc>
          <w:tcPr>
            <w:tcW w:type="dxa" w:w="2850"/>
            <w:tcMar>
              <w:top w:w="80" w:type="dxa"/>
              <w:start w:w="120" w:type="dxa"/>
              <w:bottom w:w="80" w:type="dxa"/>
              <w:end w:w="120" w:type="dxa"/>
            </w:tcMar>
            <w:vAlign w:val="top"/>
            <w:shd w:fill="E8EEF5" w:val="clear"/>
          </w:tcPr>
          <w:p>
            <w:pPr>
              <w:pStyle w:val="CompactTable"/>
            </w:pPr>
            <w:r>
              <w:rPr>
                <w:rFonts w:ascii="Calibri" w:hAnsi="Calibri" w:eastAsia="Calibri"/>
                <w:b/>
                <w:color w:val="0B2545"/>
                <w:sz w:val="17"/>
              </w:rPr>
              <w:t>Corrective evidence</w:t>
            </w:r>
          </w:p>
        </w:tc>
        <w:tc>
          <w:tcPr>
            <w:tcW w:type="dxa" w:w="2410"/>
            <w:tcMar>
              <w:top w:w="80" w:type="dxa"/>
              <w:start w:w="120" w:type="dxa"/>
              <w:bottom w:w="80" w:type="dxa"/>
              <w:end w:w="120" w:type="dxa"/>
            </w:tcMar>
            <w:vAlign w:val="top"/>
            <w:shd w:fill="E8EEF5" w:val="clear"/>
          </w:tcPr>
          <w:p>
            <w:pPr>
              <w:pStyle w:val="CompactTable"/>
            </w:pPr>
            <w:r>
              <w:rPr>
                <w:rFonts w:ascii="Calibri" w:hAnsi="Calibri" w:eastAsia="Calibri"/>
                <w:b/>
                <w:color w:val="0B2545"/>
                <w:sz w:val="17"/>
              </w:rPr>
              <w:t>General lesson</w:t>
            </w:r>
          </w:p>
        </w:tc>
      </w:tr>
      <w:tr>
        <w:trPr>
          <w:cantSplit/>
          <w:cantSplit/>
        </w:trPr>
        <w:tc>
          <w:tcPr>
            <w:tcW w:type="dxa" w:w="1700"/>
            <w:tcMar>
              <w:top w:w="80" w:type="dxa"/>
              <w:start w:w="120" w:type="dxa"/>
              <w:bottom w:w="80" w:type="dxa"/>
              <w:end w:w="120" w:type="dxa"/>
            </w:tcMar>
            <w:vAlign w:val="top"/>
          </w:tcPr>
          <w:p>
            <w:pPr>
              <w:pStyle w:val="CompactTable"/>
            </w:pPr>
            <w:r>
              <w:rPr>
                <w:rFonts w:ascii="Calibri" w:hAnsi="Calibri" w:eastAsia="Calibri"/>
                <w:b w:val="0"/>
                <w:color w:val="222222"/>
                <w:sz w:val="17"/>
              </w:rPr>
              <w:t>Representation / training</w:t>
            </w:r>
          </w:p>
        </w:tc>
        <w:tc>
          <w:tcPr>
            <w:tcW w:type="dxa" w:w="2400"/>
            <w:tcMar>
              <w:top w:w="80" w:type="dxa"/>
              <w:start w:w="120" w:type="dxa"/>
              <w:bottom w:w="80" w:type="dxa"/>
              <w:end w:w="120" w:type="dxa"/>
            </w:tcMar>
            <w:vAlign w:val="top"/>
          </w:tcPr>
          <w:p>
            <w:pPr>
              <w:pStyle w:val="CompactTable"/>
            </w:pPr>
            <w:r>
              <w:rPr>
                <w:rFonts w:ascii="Calibri" w:hAnsi="Calibri" w:eastAsia="Calibri"/>
                <w:b w:val="0"/>
                <w:color w:val="222222"/>
                <w:sz w:val="17"/>
              </w:rPr>
              <w:t>C5 HRM scalar output collapses</w:t>
            </w:r>
          </w:p>
        </w:tc>
        <w:tc>
          <w:tcPr>
            <w:tcW w:type="dxa" w:w="2850"/>
            <w:tcMar>
              <w:top w:w="80" w:type="dxa"/>
              <w:start w:w="120" w:type="dxa"/>
              <w:bottom w:w="80" w:type="dxa"/>
              <w:end w:w="120" w:type="dxa"/>
            </w:tcMar>
            <w:vAlign w:val="top"/>
          </w:tcPr>
          <w:p>
            <w:pPr>
              <w:pStyle w:val="CompactTable"/>
            </w:pPr>
            <w:r>
              <w:rPr>
                <w:rFonts w:ascii="Calibri" w:hAnsi="Calibri" w:eastAsia="Calibri"/>
                <w:b w:val="0"/>
                <w:color w:val="222222"/>
                <w:sz w:val="17"/>
              </w:rPr>
              <w:t>C6 field training restores useful predictions; C7 trained scalar also works</w:t>
            </w:r>
          </w:p>
        </w:tc>
        <w:tc>
          <w:tcPr>
            <w:tcW w:type="dxa" w:w="2410"/>
            <w:tcMar>
              <w:top w:w="80" w:type="dxa"/>
              <w:start w:w="120" w:type="dxa"/>
              <w:bottom w:w="80" w:type="dxa"/>
              <w:end w:w="120" w:type="dxa"/>
            </w:tcMar>
            <w:vAlign w:val="top"/>
          </w:tcPr>
          <w:p>
            <w:pPr>
              <w:pStyle w:val="CompactTable"/>
            </w:pPr>
            <w:r>
              <w:rPr>
                <w:rFonts w:ascii="Calibri" w:hAnsi="Calibri" w:eastAsia="Calibri"/>
                <w:b w:val="0"/>
                <w:color w:val="222222"/>
                <w:sz w:val="17"/>
              </w:rPr>
              <w:t>A bad target/recipe can masquerade as an architecture failure</w:t>
            </w:r>
          </w:p>
        </w:tc>
      </w:tr>
      <w:tr>
        <w:trPr>
          <w:cantSplit/>
          <w:cantSplit/>
        </w:trPr>
        <w:tc>
          <w:tcPr>
            <w:tcW w:type="dxa" w:w="1700"/>
            <w:tcMar>
              <w:top w:w="80" w:type="dxa"/>
              <w:start w:w="120" w:type="dxa"/>
              <w:bottom w:w="80" w:type="dxa"/>
              <w:end w:w="120" w:type="dxa"/>
            </w:tcMar>
            <w:vAlign w:val="top"/>
          </w:tcPr>
          <w:p>
            <w:pPr>
              <w:pStyle w:val="CompactTable"/>
            </w:pPr>
            <w:r>
              <w:rPr>
                <w:rFonts w:ascii="Calibri" w:hAnsi="Calibri" w:eastAsia="Calibri"/>
                <w:b w:val="0"/>
                <w:color w:val="222222"/>
                <w:sz w:val="17"/>
              </w:rPr>
              <w:t>Planner integration</w:t>
            </w:r>
          </w:p>
        </w:tc>
        <w:tc>
          <w:tcPr>
            <w:tcW w:type="dxa" w:w="2400"/>
            <w:tcMar>
              <w:top w:w="80" w:type="dxa"/>
              <w:start w:w="120" w:type="dxa"/>
              <w:bottom w:w="80" w:type="dxa"/>
              <w:end w:w="120" w:type="dxa"/>
            </w:tcMar>
            <w:vAlign w:val="top"/>
          </w:tcPr>
          <w:p>
            <w:pPr>
              <w:pStyle w:val="CompactTable"/>
            </w:pPr>
            <w:r>
              <w:rPr>
                <w:rFonts w:ascii="Calibri" w:hAnsi="Calibri" w:eastAsia="Calibri"/>
                <w:b w:val="0"/>
                <w:color w:val="222222"/>
                <w:sz w:val="17"/>
              </w:rPr>
              <w:t>Discrete additive magnitude is throttled or harmful</w:t>
            </w:r>
          </w:p>
        </w:tc>
        <w:tc>
          <w:tcPr>
            <w:tcW w:type="dxa" w:w="2850"/>
            <w:tcMar>
              <w:top w:w="80" w:type="dxa"/>
              <w:start w:w="120" w:type="dxa"/>
              <w:bottom w:w="80" w:type="dxa"/>
              <w:end w:w="120" w:type="dxa"/>
            </w:tcMar>
            <w:vAlign w:val="top"/>
          </w:tcPr>
          <w:p>
            <w:pPr>
              <w:pStyle w:val="CompactTable"/>
            </w:pPr>
            <w:r>
              <w:rPr>
                <w:rFonts w:ascii="Calibri" w:hAnsi="Calibri" w:eastAsia="Calibri"/>
                <w:b w:val="0"/>
                <w:color w:val="222222"/>
                <w:sz w:val="17"/>
              </w:rPr>
              <w:t>Focal tie-breaking recovers 6–15% fewer expansions with same weights</w:t>
            </w:r>
          </w:p>
        </w:tc>
        <w:tc>
          <w:tcPr>
            <w:tcW w:type="dxa" w:w="2410"/>
            <w:tcMar>
              <w:top w:w="80" w:type="dxa"/>
              <w:start w:w="120" w:type="dxa"/>
              <w:bottom w:w="80" w:type="dxa"/>
              <w:end w:w="120" w:type="dxa"/>
            </w:tcMar>
            <w:vAlign w:val="top"/>
          </w:tcPr>
          <w:p>
            <w:pPr>
              <w:pStyle w:val="CompactTable"/>
            </w:pPr>
            <w:r>
              <w:rPr>
                <w:rFonts w:ascii="Calibri" w:hAnsi="Calibri" w:eastAsia="Calibri"/>
                <w:b w:val="0"/>
                <w:color w:val="222222"/>
                <w:sz w:val="17"/>
              </w:rPr>
              <w:t>Consume ranking as ranking when magnitude is miscalibrated</w:t>
            </w:r>
          </w:p>
        </w:tc>
      </w:tr>
      <w:tr>
        <w:trPr>
          <w:cantSplit/>
          <w:cantSplit/>
        </w:trPr>
        <w:tc>
          <w:tcPr>
            <w:tcW w:type="dxa" w:w="1700"/>
            <w:tcMar>
              <w:top w:w="80" w:type="dxa"/>
              <w:start w:w="120" w:type="dxa"/>
              <w:bottom w:w="80" w:type="dxa"/>
              <w:end w:w="120" w:type="dxa"/>
            </w:tcMar>
            <w:vAlign w:val="top"/>
          </w:tcPr>
          <w:p>
            <w:pPr>
              <w:pStyle w:val="CompactTable"/>
            </w:pPr>
            <w:r>
              <w:rPr>
                <w:rFonts w:ascii="Calibri" w:hAnsi="Calibri" w:eastAsia="Calibri"/>
                <w:b w:val="0"/>
                <w:color w:val="222222"/>
                <w:sz w:val="17"/>
              </w:rPr>
              <w:t>Information / formulation</w:t>
            </w:r>
          </w:p>
        </w:tc>
        <w:tc>
          <w:tcPr>
            <w:tcW w:type="dxa" w:w="2400"/>
            <w:tcMar>
              <w:top w:w="80" w:type="dxa"/>
              <w:start w:w="120" w:type="dxa"/>
              <w:bottom w:w="80" w:type="dxa"/>
              <w:end w:w="120" w:type="dxa"/>
            </w:tcMar>
            <w:vAlign w:val="top"/>
          </w:tcPr>
          <w:p>
            <w:pPr>
              <w:pStyle w:val="CompactTable"/>
            </w:pPr>
            <w:r>
              <w:rPr>
                <w:rFonts w:ascii="Calibri" w:hAnsi="Calibri" w:eastAsia="Calibri"/>
                <w:b w:val="0"/>
                <w:color w:val="222222"/>
                <w:sz w:val="17"/>
              </w:rPr>
              <w:t>Sequence models see a locally sufficient, pre-digested regression</w:t>
            </w:r>
          </w:p>
        </w:tc>
        <w:tc>
          <w:tcPr>
            <w:tcW w:type="dxa" w:w="2850"/>
            <w:tcMar>
              <w:top w:w="80" w:type="dxa"/>
              <w:start w:w="120" w:type="dxa"/>
              <w:bottom w:w="80" w:type="dxa"/>
              <w:end w:w="120" w:type="dxa"/>
            </w:tcMar>
            <w:vAlign w:val="top"/>
          </w:tcPr>
          <w:p>
            <w:pPr>
              <w:pStyle w:val="CompactTable"/>
            </w:pPr>
            <w:r>
              <w:rPr>
                <w:rFonts w:ascii="Calibri" w:hAnsi="Calibri" w:eastAsia="Calibri"/>
                <w:b w:val="0"/>
                <w:color w:val="222222"/>
                <w:sz w:val="17"/>
              </w:rPr>
              <w:t>C8 blind models tie/beat aware; C11 global views help only shallowly</w:t>
            </w:r>
          </w:p>
        </w:tc>
        <w:tc>
          <w:tcPr>
            <w:tcW w:type="dxa" w:w="2410"/>
            <w:tcMar>
              <w:top w:w="80" w:type="dxa"/>
              <w:start w:w="120" w:type="dxa"/>
              <w:bottom w:w="80" w:type="dxa"/>
              <w:end w:w="120" w:type="dxa"/>
            </w:tcMar>
            <w:vAlign w:val="top"/>
          </w:tcPr>
          <w:p>
            <w:pPr>
              <w:pStyle w:val="CompactTable"/>
            </w:pPr>
            <w:r>
              <w:rPr>
                <w:rFonts w:ascii="Calibri" w:hAnsi="Calibri" w:eastAsia="Calibri"/>
                <w:b w:val="0"/>
                <w:color w:val="222222"/>
                <w:sz w:val="17"/>
              </w:rPr>
              <w:t>Architecture can only use structure that the task and interface expose</w:t>
            </w:r>
          </w:p>
        </w:tc>
      </w:tr>
    </w:tbl>
    <w:p>
      <w:pPr>
        <w:spacing w:after="20"/>
      </w:pPr>
    </w:p>
    <w:p>
      <w:pPr/>
      <w:r>
        <w:rPr>
          <w:b/>
          <w:color w:val="1F4D78"/>
        </w:rPr>
        <w:t xml:space="preserve">What is robust: </w:t>
      </w:r>
      <w:r>
        <w:t>Learned pooled guidance can substantially reduce search effort; static and dynamic transfer preserve useful priors; global spatial/graph access can matter at shallow depth; and baseline tightness determines whether additive magnitude or focal ranking is the better integration.</w:t>
      </w:r>
    </w:p>
    <w:p>
      <w:pPr/>
      <w:r>
        <w:rPr>
          <w:b/>
          <w:color w:val="1F4D78"/>
        </w:rPr>
        <w:t xml:space="preserve">What is negative: </w:t>
      </w:r>
      <w:r>
        <w:t>No reliable HRM/ON-LSTM superiority over strong flat/global controls; no systematic future-window benefit; no consistent zero-label adapter-composition gain; no C11 mission-depth or compute-depth dose-response; fragile recurrent/ACT optimization in several cells.</w:t>
      </w:r>
    </w:p>
    <w:p>
      <w:pPr/>
      <w:r>
        <w:rPr>
          <w:b/>
          <w:color w:val="1F4D78"/>
        </w:rPr>
        <w:t xml:space="preserve">Evidence-safe working thesis: </w:t>
      </w:r>
      <w:r>
        <w:t>Learned heuristics can substantially reduce search effort and transfer across planning families, but the benefit depends more on representation, planner integration, information access, and supervision regime than on nominal hierarchy. C11 reveals shallow global-input advantages, not a depth-of-reasoning effect.</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blHeader w:val="true"/>
        </w:trPr>
        <w:tc>
          <w:tcPr>
            <w:tcW w:type="dxa" w:w="9360"/>
            <w:tcMar>
              <w:top w:w="80" w:type="dxa"/>
              <w:start w:w="120" w:type="dxa"/>
              <w:bottom w:w="80" w:type="dxa"/>
              <w:end w:w="120" w:type="dxa"/>
            </w:tcMar>
            <w:vAlign w:val="top"/>
            <w:shd w:fill="E8EEF5" w:val="clear"/>
            <w:tcBorders>
              <w:left w:val="single" w:sz="18" w:space="0" w:color="1F4D78"/>
              <w:top w:val="single" w:sz="4" w:space="0" w:color="C9D2DD"/>
              <w:bottom w:val="single" w:sz="4" w:space="0" w:color="C9D2DD"/>
              <w:right w:val="single" w:sz="4" w:space="0" w:color="C9D2DD"/>
            </w:tcBorders>
          </w:tcPr>
          <w:p>
            <w:pPr>
              <w:spacing w:after="40"/>
            </w:pPr>
            <w:r>
              <w:rPr>
                <w:rFonts w:ascii="Calibri" w:hAnsi="Calibri" w:eastAsia="Calibri"/>
                <w:b/>
                <w:color w:val="1F4D78"/>
                <w:sz w:val="18"/>
              </w:rPr>
              <w:t>THE PRODUCTIVE HIERARCHY FRAMING</w:t>
            </w:r>
          </w:p>
          <w:p>
            <w:pPr>
              <w:pStyle w:val="CalloutBody"/>
            </w:pPr>
            <w:r>
              <w:t>We should not argue that hierarchy has already won. We can argue that prior tests often failed to expose the mechanism hierarchy needs, that C11 ruled out one stronger compositional formulation, and that C12 is a narrowly gated test of the two remaining mechanisms rather than a search for a favorable chart.</w:t>
            </w:r>
          </w:p>
        </w:tc>
      </w:tr>
    </w:tbl>
    <w:p>
      <w:pPr>
        <w:spacing w:after="0" w:line="96" w:lineRule="auto"/>
      </w:pPr>
    </w:p>
    <w:p>
      <w:pPr>
        <w:pStyle w:val="Heading1"/>
      </w:pPr>
      <w:r>
        <w:t>12. What can be claimed now—and what cannot</w:t>
      </w:r>
    </w:p>
    <w:tbl>
      <w:tblPr>
        <w:tblW w:type="dxa" w:w="9360"/>
        <w:tblLayout w:type="fixed"/>
        <w:tblLook w:firstColumn="1" w:firstRow="1" w:lastColumn="0" w:lastRow="0" w:noHBand="0" w:noVBand="1" w:val="04A0"/>
        <w:jc w:val="left"/>
        <w:tblInd w:w="120" w:type="dxa"/>
        <w:tblBorders>
          <w:top w:val="single" w:sz="4" w:space="0" w:color="C9D2DD"/>
          <w:left w:val="single" w:sz="4" w:space="0" w:color="C9D2DD"/>
          <w:bottom w:val="single" w:sz="4" w:space="0" w:color="C9D2DD"/>
          <w:right w:val="single" w:sz="4" w:space="0" w:color="C9D2DD"/>
          <w:insideH w:val="single" w:sz="4" w:space="0" w:color="C9D2DD"/>
          <w:insideV w:val="single" w:sz="4" w:space="0" w:color="C9D2DD"/>
        </w:tblBorders>
      </w:tblPr>
      <w:tblGrid>
        <w:gridCol w:w="3300"/>
        <w:gridCol w:w="1900"/>
        <w:gridCol w:w="4160"/>
      </w:tblGrid>
      <w:tr>
        <w:trPr>
          <w:cantSplit/>
          <w:tblHeader w:val="true"/>
          <w:cantSplit/>
        </w:trPr>
        <w:tc>
          <w:tcPr>
            <w:tcW w:type="dxa" w:w="3300"/>
            <w:tcMar>
              <w:top w:w="80" w:type="dxa"/>
              <w:start w:w="120" w:type="dxa"/>
              <w:bottom w:w="80" w:type="dxa"/>
              <w:end w:w="120" w:type="dxa"/>
            </w:tcMar>
            <w:vAlign w:val="top"/>
            <w:shd w:fill="E8EEF5" w:val="clear"/>
          </w:tcPr>
          <w:p>
            <w:pPr>
              <w:pStyle w:val="CompactTable"/>
            </w:pPr>
            <w:r>
              <w:rPr>
                <w:rFonts w:ascii="Calibri" w:hAnsi="Calibri" w:eastAsia="Calibri"/>
                <w:b/>
                <w:color w:val="0B2545"/>
                <w:sz w:val="17"/>
              </w:rPr>
              <w:t>Claim</w:t>
            </w:r>
          </w:p>
        </w:tc>
        <w:tc>
          <w:tcPr>
            <w:tcW w:type="dxa" w:w="1900"/>
            <w:tcMar>
              <w:top w:w="80" w:type="dxa"/>
              <w:start w:w="120" w:type="dxa"/>
              <w:bottom w:w="80" w:type="dxa"/>
              <w:end w:w="120" w:type="dxa"/>
            </w:tcMar>
            <w:vAlign w:val="top"/>
            <w:shd w:fill="E8EEF5" w:val="clear"/>
          </w:tcPr>
          <w:p>
            <w:pPr>
              <w:pStyle w:val="CompactTable"/>
            </w:pPr>
            <w:r>
              <w:rPr>
                <w:rFonts w:ascii="Calibri" w:hAnsi="Calibri" w:eastAsia="Calibri"/>
                <w:b/>
                <w:color w:val="0B2545"/>
                <w:sz w:val="17"/>
              </w:rPr>
              <w:t>Current status</w:t>
            </w:r>
          </w:p>
        </w:tc>
        <w:tc>
          <w:tcPr>
            <w:tcW w:type="dxa" w:w="4160"/>
            <w:tcMar>
              <w:top w:w="80" w:type="dxa"/>
              <w:start w:w="120" w:type="dxa"/>
              <w:bottom w:w="80" w:type="dxa"/>
              <w:end w:w="120" w:type="dxa"/>
            </w:tcMar>
            <w:vAlign w:val="top"/>
            <w:shd w:fill="E8EEF5" w:val="clear"/>
          </w:tcPr>
          <w:p>
            <w:pPr>
              <w:pStyle w:val="CompactTable"/>
            </w:pPr>
            <w:r>
              <w:rPr>
                <w:rFonts w:ascii="Calibri" w:hAnsi="Calibri" w:eastAsia="Calibri"/>
                <w:b/>
                <w:color w:val="0B2545"/>
                <w:sz w:val="17"/>
              </w:rPr>
              <w:t>Required caveat or next proof</w:t>
            </w:r>
          </w:p>
        </w:tc>
      </w:tr>
      <w:tr>
        <w:trPr>
          <w:cantSplit/>
          <w:cantSplit/>
        </w:trPr>
        <w:tc>
          <w:tcPr>
            <w:tcW w:type="dxa" w:w="3300"/>
            <w:tcMar>
              <w:top w:w="80" w:type="dxa"/>
              <w:start w:w="120" w:type="dxa"/>
              <w:bottom w:w="80" w:type="dxa"/>
              <w:end w:w="120" w:type="dxa"/>
            </w:tcMar>
            <w:vAlign w:val="top"/>
          </w:tcPr>
          <w:p>
            <w:pPr>
              <w:pStyle w:val="CompactTable"/>
            </w:pPr>
            <w:r>
              <w:rPr>
                <w:rFonts w:ascii="Calibri" w:hAnsi="Calibri" w:eastAsia="Calibri"/>
                <w:b w:val="0"/>
                <w:color w:val="222222"/>
                <w:sz w:val="17"/>
              </w:rPr>
              <w:t>Learned continuous heuristics beat Euclidean guidance</w:t>
            </w:r>
          </w:p>
        </w:tc>
        <w:tc>
          <w:tcPr>
            <w:tcW w:type="dxa" w:w="1900"/>
            <w:tcMar>
              <w:top w:w="80" w:type="dxa"/>
              <w:start w:w="120" w:type="dxa"/>
              <w:bottom w:w="80" w:type="dxa"/>
              <w:end w:w="120" w:type="dxa"/>
            </w:tcMar>
            <w:vAlign w:val="top"/>
          </w:tcPr>
          <w:p>
            <w:pPr>
              <w:pStyle w:val="CompactTable"/>
            </w:pPr>
            <w:r>
              <w:rPr>
                <w:rFonts w:ascii="Calibri" w:hAnsi="Calibri" w:eastAsia="Calibri"/>
                <w:b w:val="0"/>
                <w:color w:val="222222"/>
                <w:sz w:val="17"/>
              </w:rPr>
              <w:t>Supported locally</w:t>
            </w:r>
          </w:p>
        </w:tc>
        <w:tc>
          <w:tcPr>
            <w:tcW w:type="dxa" w:w="4160"/>
            <w:tcMar>
              <w:top w:w="80" w:type="dxa"/>
              <w:start w:w="120" w:type="dxa"/>
              <w:bottom w:w="80" w:type="dxa"/>
              <w:end w:w="120" w:type="dxa"/>
            </w:tcMar>
            <w:vAlign w:val="top"/>
          </w:tcPr>
          <w:p>
            <w:pPr>
              <w:pStyle w:val="CompactTable"/>
            </w:pPr>
            <w:r>
              <w:rPr>
                <w:rFonts w:ascii="Calibri" w:hAnsi="Calibri" w:eastAsia="Calibri"/>
                <w:b w:val="0"/>
                <w:color w:val="222222"/>
                <w:sz w:val="17"/>
              </w:rPr>
              <w:t>C7/C8 need more training seeds and world-level uncertainty for publication magnitudes.</w:t>
            </w:r>
          </w:p>
        </w:tc>
      </w:tr>
      <w:tr>
        <w:trPr>
          <w:cantSplit/>
          <w:cantSplit/>
        </w:trPr>
        <w:tc>
          <w:tcPr>
            <w:tcW w:type="dxa" w:w="3300"/>
            <w:tcMar>
              <w:top w:w="80" w:type="dxa"/>
              <w:start w:w="120" w:type="dxa"/>
              <w:bottom w:w="80" w:type="dxa"/>
              <w:end w:w="120" w:type="dxa"/>
            </w:tcMar>
            <w:vAlign w:val="top"/>
          </w:tcPr>
          <w:p>
            <w:pPr>
              <w:pStyle w:val="CompactTable"/>
            </w:pPr>
            <w:r>
              <w:rPr>
                <w:rFonts w:ascii="Calibri" w:hAnsi="Calibri" w:eastAsia="Calibri"/>
                <w:b w:val="0"/>
                <w:color w:val="222222"/>
                <w:sz w:val="17"/>
              </w:rPr>
              <w:t>Value-field training rescued HRM</w:t>
            </w:r>
          </w:p>
        </w:tc>
        <w:tc>
          <w:tcPr>
            <w:tcW w:type="dxa" w:w="1900"/>
            <w:tcMar>
              <w:top w:w="80" w:type="dxa"/>
              <w:start w:w="120" w:type="dxa"/>
              <w:bottom w:w="80" w:type="dxa"/>
              <w:end w:w="120" w:type="dxa"/>
            </w:tcMar>
            <w:vAlign w:val="top"/>
          </w:tcPr>
          <w:p>
            <w:pPr>
              <w:pStyle w:val="CompactTable"/>
            </w:pPr>
            <w:r>
              <w:rPr>
                <w:rFonts w:ascii="Calibri" w:hAnsi="Calibri" w:eastAsia="Calibri"/>
                <w:b w:val="0"/>
                <w:color w:val="222222"/>
                <w:sz w:val="17"/>
              </w:rPr>
              <w:t>Supported in C6</w:t>
            </w:r>
          </w:p>
        </w:tc>
        <w:tc>
          <w:tcPr>
            <w:tcW w:type="dxa" w:w="4160"/>
            <w:tcMar>
              <w:top w:w="80" w:type="dxa"/>
              <w:start w:w="120" w:type="dxa"/>
              <w:bottom w:w="80" w:type="dxa"/>
              <w:end w:w="120" w:type="dxa"/>
            </w:tcMar>
            <w:vAlign w:val="top"/>
          </w:tcPr>
          <w:p>
            <w:pPr>
              <w:pStyle w:val="CompactTable"/>
            </w:pPr>
            <w:r>
              <w:rPr>
                <w:rFonts w:ascii="Calibri" w:hAnsi="Calibri" w:eastAsia="Calibri"/>
                <w:b w:val="0"/>
                <w:color w:val="222222"/>
                <w:sz w:val="17"/>
              </w:rPr>
              <w:t>Do not claim fields are necessary; C7 scalar models also work.</w:t>
            </w:r>
          </w:p>
        </w:tc>
      </w:tr>
      <w:tr>
        <w:trPr>
          <w:cantSplit/>
          <w:cantSplit/>
        </w:trPr>
        <w:tc>
          <w:tcPr>
            <w:tcW w:type="dxa" w:w="3300"/>
            <w:tcMar>
              <w:top w:w="80" w:type="dxa"/>
              <w:start w:w="120" w:type="dxa"/>
              <w:bottom w:w="80" w:type="dxa"/>
              <w:end w:w="120" w:type="dxa"/>
            </w:tcMar>
            <w:vAlign w:val="top"/>
          </w:tcPr>
          <w:p>
            <w:pPr>
              <w:pStyle w:val="CompactTable"/>
            </w:pPr>
            <w:r>
              <w:rPr>
                <w:rFonts w:ascii="Calibri" w:hAnsi="Calibri" w:eastAsia="Calibri"/>
                <w:b w:val="0"/>
                <w:color w:val="222222"/>
                <w:sz w:val="17"/>
              </w:rPr>
              <w:t>Future-window awareness improves heuristic search</w:t>
            </w:r>
          </w:p>
        </w:tc>
        <w:tc>
          <w:tcPr>
            <w:tcW w:type="dxa" w:w="1900"/>
            <w:tcMar>
              <w:top w:w="80" w:type="dxa"/>
              <w:start w:w="120" w:type="dxa"/>
              <w:bottom w:w="80" w:type="dxa"/>
              <w:end w:w="120" w:type="dxa"/>
            </w:tcMar>
            <w:vAlign w:val="top"/>
          </w:tcPr>
          <w:p>
            <w:pPr>
              <w:pStyle w:val="CompactTable"/>
            </w:pPr>
            <w:r>
              <w:rPr>
                <w:rFonts w:ascii="Calibri" w:hAnsi="Calibri" w:eastAsia="Calibri"/>
                <w:b w:val="0"/>
                <w:color w:val="222222"/>
                <w:sz w:val="17"/>
              </w:rPr>
              <w:t>Not supported</w:t>
            </w:r>
          </w:p>
        </w:tc>
        <w:tc>
          <w:tcPr>
            <w:tcW w:type="dxa" w:w="4160"/>
            <w:tcMar>
              <w:top w:w="80" w:type="dxa"/>
              <w:start w:w="120" w:type="dxa"/>
              <w:bottom w:w="80" w:type="dxa"/>
              <w:end w:w="120" w:type="dxa"/>
            </w:tcMar>
            <w:vAlign w:val="top"/>
          </w:tcPr>
          <w:p>
            <w:pPr>
              <w:pStyle w:val="CompactTable"/>
            </w:pPr>
            <w:r>
              <w:rPr>
                <w:rFonts w:ascii="Calibri" w:hAnsi="Calibri" w:eastAsia="Calibri"/>
                <w:b w:val="0"/>
                <w:color w:val="222222"/>
                <w:sz w:val="17"/>
              </w:rPr>
              <w:t>C8 heavy and C9b both fail to show a systematic advantage.</w:t>
            </w:r>
          </w:p>
        </w:tc>
      </w:tr>
      <w:tr>
        <w:trPr>
          <w:cantSplit/>
          <w:cantSplit/>
        </w:trPr>
        <w:tc>
          <w:tcPr>
            <w:tcW w:type="dxa" w:w="3300"/>
            <w:tcMar>
              <w:top w:w="80" w:type="dxa"/>
              <w:start w:w="120" w:type="dxa"/>
              <w:bottom w:w="80" w:type="dxa"/>
              <w:end w:w="120" w:type="dxa"/>
            </w:tcMar>
            <w:vAlign w:val="top"/>
          </w:tcPr>
          <w:p>
            <w:pPr>
              <w:pStyle w:val="CompactTable"/>
            </w:pPr>
            <w:r>
              <w:rPr>
                <w:rFonts w:ascii="Calibri" w:hAnsi="Calibri" w:eastAsia="Calibri"/>
                <w:b w:val="0"/>
                <w:color w:val="222222"/>
                <w:sz w:val="17"/>
              </w:rPr>
              <w:t>LoRA is sample-efficient; full-FT has higher ceiling</w:t>
            </w:r>
          </w:p>
        </w:tc>
        <w:tc>
          <w:tcPr>
            <w:tcW w:type="dxa" w:w="1900"/>
            <w:tcMar>
              <w:top w:w="80" w:type="dxa"/>
              <w:start w:w="120" w:type="dxa"/>
              <w:bottom w:w="80" w:type="dxa"/>
              <w:end w:w="120" w:type="dxa"/>
            </w:tcMar>
            <w:vAlign w:val="top"/>
          </w:tcPr>
          <w:p>
            <w:pPr>
              <w:pStyle w:val="CompactTable"/>
            </w:pPr>
            <w:r>
              <w:rPr>
                <w:rFonts w:ascii="Calibri" w:hAnsi="Calibri" w:eastAsia="Calibri"/>
                <w:b w:val="0"/>
                <w:color w:val="222222"/>
                <w:sz w:val="17"/>
              </w:rPr>
              <w:t>Supported conditionally</w:t>
            </w:r>
          </w:p>
        </w:tc>
        <w:tc>
          <w:tcPr>
            <w:tcW w:type="dxa" w:w="4160"/>
            <w:tcMar>
              <w:top w:w="80" w:type="dxa"/>
              <w:start w:w="120" w:type="dxa"/>
              <w:bottom w:w="80" w:type="dxa"/>
              <w:end w:w="120" w:type="dxa"/>
            </w:tcMar>
            <w:vAlign w:val="top"/>
          </w:tcPr>
          <w:p>
            <w:pPr>
              <w:pStyle w:val="CompactTable"/>
            </w:pPr>
            <w:r>
              <w:rPr>
                <w:rFonts w:ascii="Calibri" w:hAnsi="Calibri" w:eastAsia="Calibri"/>
                <w:b w:val="0"/>
                <w:color w:val="222222"/>
                <w:sz w:val="17"/>
              </w:rPr>
              <w:t>Frame around label scarcity; recompute world-clustered direct contrasts.</w:t>
            </w:r>
          </w:p>
        </w:tc>
      </w:tr>
      <w:tr>
        <w:trPr>
          <w:cantSplit/>
          <w:cantSplit/>
        </w:trPr>
        <w:tc>
          <w:tcPr>
            <w:tcW w:type="dxa" w:w="3300"/>
            <w:tcMar>
              <w:top w:w="80" w:type="dxa"/>
              <w:start w:w="120" w:type="dxa"/>
              <w:bottom w:w="80" w:type="dxa"/>
              <w:end w:w="120" w:type="dxa"/>
            </w:tcMar>
            <w:vAlign w:val="top"/>
          </w:tcPr>
          <w:p>
            <w:pPr>
              <w:pStyle w:val="CompactTable"/>
            </w:pPr>
            <w:r>
              <w:rPr>
                <w:rFonts w:ascii="Calibri" w:hAnsi="Calibri" w:eastAsia="Calibri"/>
                <w:b w:val="0"/>
                <w:color w:val="222222"/>
                <w:sz w:val="17"/>
              </w:rPr>
              <w:t>Zero-label adapter interpolation helps</w:t>
            </w:r>
          </w:p>
        </w:tc>
        <w:tc>
          <w:tcPr>
            <w:tcW w:type="dxa" w:w="1900"/>
            <w:tcMar>
              <w:top w:w="80" w:type="dxa"/>
              <w:start w:w="120" w:type="dxa"/>
              <w:bottom w:w="80" w:type="dxa"/>
              <w:end w:w="120" w:type="dxa"/>
            </w:tcMar>
            <w:vAlign w:val="top"/>
          </w:tcPr>
          <w:p>
            <w:pPr>
              <w:pStyle w:val="CompactTable"/>
            </w:pPr>
            <w:r>
              <w:rPr>
                <w:rFonts w:ascii="Calibri" w:hAnsi="Calibri" w:eastAsia="Calibri"/>
                <w:b w:val="0"/>
                <w:color w:val="222222"/>
                <w:sz w:val="17"/>
              </w:rPr>
              <w:t>Not supported</w:t>
            </w:r>
          </w:p>
        </w:tc>
        <w:tc>
          <w:tcPr>
            <w:tcW w:type="dxa" w:w="4160"/>
            <w:tcMar>
              <w:top w:w="80" w:type="dxa"/>
              <w:start w:w="120" w:type="dxa"/>
              <w:bottom w:w="80" w:type="dxa"/>
              <w:end w:w="120" w:type="dxa"/>
            </w:tcMar>
            <w:vAlign w:val="top"/>
          </w:tcPr>
          <w:p>
            <w:pPr>
              <w:pStyle w:val="CompactTable"/>
            </w:pPr>
            <w:r>
              <w:rPr>
                <w:rFonts w:ascii="Calibri" w:hAnsi="Calibri" w:eastAsia="Calibri"/>
                <w:b w:val="0"/>
                <w:color w:val="222222"/>
                <w:sz w:val="17"/>
              </w:rPr>
              <w:t>Routing works, planning gain is inconsistent over a strong pooled base.</w:t>
            </w:r>
          </w:p>
        </w:tc>
      </w:tr>
      <w:tr>
        <w:trPr>
          <w:cantSplit/>
          <w:cantSplit/>
        </w:trPr>
        <w:tc>
          <w:tcPr>
            <w:tcW w:type="dxa" w:w="3300"/>
            <w:tcMar>
              <w:top w:w="80" w:type="dxa"/>
              <w:start w:w="120" w:type="dxa"/>
              <w:bottom w:w="80" w:type="dxa"/>
              <w:end w:w="120" w:type="dxa"/>
            </w:tcMar>
            <w:vAlign w:val="top"/>
          </w:tcPr>
          <w:p>
            <w:pPr>
              <w:pStyle w:val="CompactTable"/>
            </w:pPr>
            <w:r>
              <w:rPr>
                <w:rFonts w:ascii="Calibri" w:hAnsi="Calibri" w:eastAsia="Calibri"/>
                <w:b w:val="0"/>
                <w:color w:val="222222"/>
                <w:sz w:val="17"/>
              </w:rPr>
              <w:t>Compositional missions reveal hierarchy</w:t>
            </w:r>
          </w:p>
        </w:tc>
        <w:tc>
          <w:tcPr>
            <w:tcW w:type="dxa" w:w="1900"/>
            <w:tcMar>
              <w:top w:w="80" w:type="dxa"/>
              <w:start w:w="120" w:type="dxa"/>
              <w:bottom w:w="80" w:type="dxa"/>
              <w:end w:w="120" w:type="dxa"/>
            </w:tcMar>
            <w:vAlign w:val="top"/>
          </w:tcPr>
          <w:p>
            <w:pPr>
              <w:pStyle w:val="CompactTable"/>
            </w:pPr>
            <w:r>
              <w:rPr>
                <w:rFonts w:ascii="Calibri" w:hAnsi="Calibri" w:eastAsia="Calibri"/>
                <w:b w:val="0"/>
                <w:color w:val="222222"/>
                <w:sz w:val="17"/>
              </w:rPr>
              <w:t>Not supported in C11</w:t>
            </w:r>
          </w:p>
        </w:tc>
        <w:tc>
          <w:tcPr>
            <w:tcW w:type="dxa" w:w="4160"/>
            <w:tcMar>
              <w:top w:w="80" w:type="dxa"/>
              <w:start w:w="120" w:type="dxa"/>
              <w:bottom w:w="80" w:type="dxa"/>
              <w:end w:w="120" w:type="dxa"/>
            </w:tcMar>
            <w:vAlign w:val="top"/>
          </w:tcPr>
          <w:p>
            <w:pPr>
              <w:pStyle w:val="CompactTable"/>
            </w:pPr>
            <w:r>
              <w:rPr>
                <w:rFonts w:ascii="Calibri" w:hAnsi="Calibri" w:eastAsia="Calibri"/>
                <w:b w:val="0"/>
                <w:color w:val="222222"/>
                <w:sz w:val="17"/>
              </w:rPr>
              <w:t>Shallow U-Net/GNN separation is information-access dependent; no depth dose-response.</w:t>
            </w:r>
          </w:p>
        </w:tc>
      </w:tr>
      <w:tr>
        <w:trPr>
          <w:cantSplit/>
          <w:cantSplit/>
        </w:trPr>
        <w:tc>
          <w:tcPr>
            <w:tcW w:type="dxa" w:w="3300"/>
            <w:tcMar>
              <w:top w:w="80" w:type="dxa"/>
              <w:start w:w="120" w:type="dxa"/>
              <w:bottom w:w="80" w:type="dxa"/>
              <w:end w:w="120" w:type="dxa"/>
            </w:tcMar>
            <w:vAlign w:val="top"/>
          </w:tcPr>
          <w:p>
            <w:pPr>
              <w:pStyle w:val="CompactTable"/>
            </w:pPr>
            <w:r>
              <w:rPr>
                <w:rFonts w:ascii="Calibri" w:hAnsi="Calibri" w:eastAsia="Calibri"/>
                <w:b w:val="0"/>
                <w:color w:val="222222"/>
                <w:sz w:val="17"/>
              </w:rPr>
              <w:t>Discrete focal ranking improves A* efficiency</w:t>
            </w:r>
          </w:p>
        </w:tc>
        <w:tc>
          <w:tcPr>
            <w:tcW w:type="dxa" w:w="1900"/>
            <w:tcMar>
              <w:top w:w="80" w:type="dxa"/>
              <w:start w:w="120" w:type="dxa"/>
              <w:bottom w:w="80" w:type="dxa"/>
              <w:end w:w="120" w:type="dxa"/>
            </w:tcMar>
            <w:vAlign w:val="top"/>
          </w:tcPr>
          <w:p>
            <w:pPr>
              <w:pStyle w:val="CompactTable"/>
            </w:pPr>
            <w:r>
              <w:rPr>
                <w:rFonts w:ascii="Calibri" w:hAnsi="Calibri" w:eastAsia="Calibri"/>
                <w:b w:val="0"/>
                <w:color w:val="222222"/>
                <w:sz w:val="17"/>
              </w:rPr>
              <w:t>Promising local pilot</w:t>
            </w:r>
          </w:p>
        </w:tc>
        <w:tc>
          <w:tcPr>
            <w:tcW w:type="dxa" w:w="4160"/>
            <w:tcMar>
              <w:top w:w="80" w:type="dxa"/>
              <w:start w:w="120" w:type="dxa"/>
              <w:bottom w:w="80" w:type="dxa"/>
              <w:end w:w="120" w:type="dxa"/>
            </w:tcMar>
            <w:vAlign w:val="top"/>
          </w:tcPr>
          <w:p>
            <w:pPr>
              <w:pStyle w:val="CompactTable"/>
            </w:pPr>
            <w:r>
              <w:rPr>
                <w:rFonts w:ascii="Calibri" w:hAnsi="Calibri" w:eastAsia="Calibri"/>
                <w:b w:val="0"/>
                <w:color w:val="222222"/>
                <w:sz w:val="17"/>
              </w:rPr>
              <w:t>Expand to full suite/budget grid with paired uncertainty.</w:t>
            </w:r>
          </w:p>
        </w:tc>
      </w:tr>
      <w:tr>
        <w:trPr>
          <w:cantSplit/>
          <w:cantSplit/>
        </w:trPr>
        <w:tc>
          <w:tcPr>
            <w:tcW w:type="dxa" w:w="3300"/>
            <w:tcMar>
              <w:top w:w="80" w:type="dxa"/>
              <w:start w:w="120" w:type="dxa"/>
              <w:bottom w:w="80" w:type="dxa"/>
              <w:end w:w="120" w:type="dxa"/>
            </w:tcMar>
            <w:vAlign w:val="top"/>
          </w:tcPr>
          <w:p>
            <w:pPr>
              <w:pStyle w:val="CompactTable"/>
            </w:pPr>
            <w:r>
              <w:rPr>
                <w:rFonts w:ascii="Calibri" w:hAnsi="Calibri" w:eastAsia="Calibri"/>
                <w:b w:val="0"/>
                <w:color w:val="222222"/>
                <w:sz w:val="17"/>
              </w:rPr>
              <w:t>C12 establishes a hierarchy win</w:t>
            </w:r>
          </w:p>
        </w:tc>
        <w:tc>
          <w:tcPr>
            <w:tcW w:type="dxa" w:w="1900"/>
            <w:tcMar>
              <w:top w:w="80" w:type="dxa"/>
              <w:start w:w="120" w:type="dxa"/>
              <w:bottom w:w="80" w:type="dxa"/>
              <w:end w:w="120" w:type="dxa"/>
            </w:tcMar>
            <w:vAlign w:val="top"/>
          </w:tcPr>
          <w:p>
            <w:pPr>
              <w:pStyle w:val="CompactTable"/>
            </w:pPr>
            <w:r>
              <w:rPr>
                <w:rFonts w:ascii="Calibri" w:hAnsi="Calibri" w:eastAsia="Calibri"/>
                <w:b w:val="0"/>
                <w:color w:val="222222"/>
                <w:sz w:val="17"/>
              </w:rPr>
              <w:t>No evidence yet</w:t>
            </w:r>
          </w:p>
        </w:tc>
        <w:tc>
          <w:tcPr>
            <w:tcW w:type="dxa" w:w="4160"/>
            <w:tcMar>
              <w:top w:w="80" w:type="dxa"/>
              <w:start w:w="120" w:type="dxa"/>
              <w:bottom w:w="80" w:type="dxa"/>
              <w:end w:w="120" w:type="dxa"/>
            </w:tcMar>
            <w:vAlign w:val="top"/>
          </w:tcPr>
          <w:p>
            <w:pPr>
              <w:pStyle w:val="CompactTable"/>
            </w:pPr>
            <w:r>
              <w:rPr>
                <w:rFonts w:ascii="Calibri" w:hAnsi="Calibri" w:eastAsia="Calibri"/>
                <w:b w:val="0"/>
                <w:color w:val="222222"/>
                <w:sz w:val="17"/>
              </w:rPr>
              <w:t>Run G0 probes first; design is not a result.</w:t>
            </w:r>
          </w:p>
        </w:tc>
      </w:tr>
    </w:tbl>
    <w:p>
      <w:pPr>
        <w:spacing w:after="20"/>
      </w:pPr>
    </w:p>
    <w:p>
      <w:pPr>
        <w:pStyle w:val="Heading1"/>
      </w:pPr>
      <w:r>
        <w:t>13. Suggested 12-minute talking track</w:t>
      </w:r>
    </w:p>
    <w:p>
      <w:pPr>
        <w:numPr>
          <w:ilvl w:val="0"/>
          <w:numId w:val="10"/>
        </w:numPr>
      </w:pPr>
      <w:r>
        <w:t>Minute 0–1 — Frame the problem: learned heuristics are valuable only if the substrate has headroom and the planner consumes their signal correctly.</w:t>
      </w:r>
    </w:p>
    <w:p>
      <w:pPr>
        <w:numPr>
          <w:ilvl w:val="0"/>
          <w:numId w:val="10"/>
        </w:numPr>
      </w:pPr>
      <w:r>
        <w:t>Minute 1–3 — C6/C7: the heatmap decision rescued HRM, then the matched C7 comparison showed training adequacy and baseline tightness mattered more than representation alone.</w:t>
      </w:r>
    </w:p>
    <w:p>
      <w:pPr>
        <w:numPr>
          <w:ilvl w:val="0"/>
          <w:numId w:val="10"/>
        </w:numPr>
      </w:pPr>
      <w:r>
        <w:t>Minute 3–5 — C8: learned guidance dominates Euclidean-time search, but explicit future windows do not beat present-frame twins even after a fair heavy rerun and an MAE mechanism check.</w:t>
      </w:r>
    </w:p>
    <w:p>
      <w:pPr>
        <w:numPr>
          <w:ilvl w:val="0"/>
          <w:numId w:val="10"/>
        </w:numPr>
      </w:pPr>
      <w:r>
        <w:t>Minute 5–7 — C9/C9h/C9b: transfer advantage tracks actual labeled-state scarcity; low rank preserves priors, full rank uses data, and one space-time world is already data-rich.</w:t>
      </w:r>
    </w:p>
    <w:p>
      <w:pPr>
        <w:numPr>
          <w:ilvl w:val="0"/>
          <w:numId w:val="10"/>
        </w:numPr>
      </w:pPr>
      <w:r>
        <w:t>Minute 7–8 — C10: descriptor routing works, but plateaued experts cannot interpolate beyond the pooled base.</w:t>
      </w:r>
    </w:p>
    <w:p>
      <w:pPr>
        <w:numPr>
          <w:ilvl w:val="0"/>
          <w:numId w:val="10"/>
        </w:numPr>
      </w:pPr>
      <w:r>
        <w:t>Minute 8–10 — C11: oracle headroom is enormous and grows with K, yet no hierarchy/depth dose-response appears; U-Net/GNN gain only at shallow K and recurrence sometimes collapses.</w:t>
      </w:r>
    </w:p>
    <w:p>
      <w:pPr>
        <w:numPr>
          <w:ilvl w:val="0"/>
          <w:numId w:val="10"/>
        </w:numPr>
      </w:pPr>
      <w:r>
        <w:t>Minute 10–11 — Discrete focal: same weights, better interface; ranking rescue gives 6–15% fewer expansions at w=1.0.</w:t>
      </w:r>
    </w:p>
    <w:p>
      <w:pPr>
        <w:numPr>
          <w:ilvl w:val="0"/>
          <w:numId w:val="10"/>
        </w:numPr>
      </w:pPr>
      <w:r>
        <w:t>Minute 11–12 — Ask for a decision: harden the existing paper spine now, while running only C12’s cheap authorization probes, or wait for a full C12 cycle?</w:t>
      </w:r>
    </w:p>
    <w:p>
      <w:pPr>
        <w:pStyle w:val="Heading1"/>
      </w:pPr>
      <w:r>
        <w:t>14. Anticipated questions and concise answers</w:t>
      </w:r>
    </w:p>
    <w:p>
      <w:pPr>
        <w:pStyle w:val="Heading2"/>
        <w:spacing w:before="200" w:after="100"/>
      </w:pPr>
      <w:r>
        <w:rPr>
          <w:rFonts w:ascii="Calibri" w:hAnsi="Calibri" w:eastAsia="Calibri"/>
          <w:b/>
          <w:color w:val="1F4D78"/>
          <w:sz w:val="24"/>
        </w:rPr>
        <w:t>Why did the heatmap help if scalar worked later?</w:t>
      </w:r>
    </w:p>
    <w:p>
      <w:r>
        <w:t>C6 changed both target structure and training adequacy. It rescued the specific C5 collapse. C7 then isolated the variables and showed scalar prediction is viable when trained on the hard suites. The refined claim is recovery, not necessity.</w:t>
      </w:r>
    </w:p>
    <w:p>
      <w:pPr>
        <w:pStyle w:val="Heading2"/>
        <w:spacing w:before="200" w:after="100"/>
      </w:pPr>
      <w:r>
        <w:rPr>
          <w:rFonts w:ascii="Calibri" w:hAnsi="Calibri" w:eastAsia="Calibri"/>
          <w:b/>
          <w:color w:val="1F4D78"/>
          <w:sz w:val="24"/>
        </w:rPr>
        <w:t>Why did focal help in discrete but not continuous space?</w:t>
      </w:r>
    </w:p>
    <w:p>
      <w:r>
        <w:t>Manhattan is a tight grid baseline, so ranking inside its admissible band is useful. Euclidean distance is loose around continuous obstacles, so additive detour magnitude repairs a much larger missing term. Baseline tightness flips the best integration.</w:t>
      </w:r>
    </w:p>
    <w:p>
      <w:pPr>
        <w:pStyle w:val="Heading2"/>
        <w:spacing w:before="200" w:after="100"/>
      </w:pPr>
      <w:r>
        <w:rPr>
          <w:rFonts w:ascii="Calibri" w:hAnsi="Calibri" w:eastAsia="Calibri"/>
          <w:b/>
          <w:color w:val="1F4D78"/>
          <w:sz w:val="24"/>
        </w:rPr>
        <w:t>Could C8’s negative just be under-training?</w:t>
      </w:r>
    </w:p>
    <w:p>
      <w:r>
        <w:t>We tested that. The heavy rerun used W=8, 12 epochs, all 1.13M samples, more worlds, and hardened time-coupled suites. Aware still had no systematic search or MAE advantage.</w:t>
      </w:r>
    </w:p>
    <w:p>
      <w:pPr>
        <w:pStyle w:val="Heading2"/>
        <w:spacing w:before="200" w:after="100"/>
      </w:pPr>
      <w:r>
        <w:rPr>
          <w:rFonts w:ascii="Calibri" w:hAnsi="Calibri" w:eastAsia="Calibri"/>
          <w:b/>
          <w:color w:val="1F4D78"/>
          <w:sz w:val="24"/>
        </w:rPr>
        <w:t>Is C11 a meaningful negative?</w:t>
      </w:r>
    </w:p>
    <w:p>
      <w:r>
        <w:t>Yes: the oracle proved 78–92% relative expansion headroom, the task exposed sequences and a product graph, and an MLP control was explicit. The negative is specifically about architecture/depth dose-response. Exact CIs still need world-clustered reanalysis, and collapse weakens some recurrent comparisons.</w:t>
      </w:r>
    </w:p>
    <w:p>
      <w:pPr>
        <w:pStyle w:val="Heading2"/>
        <w:spacing w:before="200" w:after="100"/>
      </w:pPr>
      <w:r>
        <w:rPr>
          <w:rFonts w:ascii="Calibri" w:hAnsi="Calibri" w:eastAsia="Calibri"/>
          <w:b/>
          <w:color w:val="1F4D78"/>
          <w:sz w:val="24"/>
        </w:rPr>
        <w:t>Does the U-Net/GNN shallow win count as hierarchy?</w:t>
      </w:r>
    </w:p>
    <w:p>
      <w:r>
        <w:t>It counts as architecture and information-access separation, not evidence that deeper missions recruit more hierarchical computation. The advantage disappears as K rises.</w:t>
      </w:r>
    </w:p>
    <w:p>
      <w:pPr>
        <w:pStyle w:val="Heading2"/>
        <w:spacing w:before="200" w:after="100"/>
      </w:pPr>
      <w:r>
        <w:rPr>
          <w:rFonts w:ascii="Calibri" w:hAnsi="Calibri" w:eastAsia="Calibri"/>
          <w:b/>
          <w:color w:val="1F4D78"/>
          <w:sz w:val="24"/>
        </w:rPr>
        <w:t>Is C12 unfairly engineered for memory?</w:t>
      </w:r>
    </w:p>
    <w:p>
      <w:r>
        <w:t>It is intentionally a conditional mechanism test. Counterfactual alias pairs prove history is required, and the present-sufficient control prevents a universal claim. If the G0 probe fails, no model is trained and no architecture verdict is made.</w:t>
      </w:r>
    </w:p>
    <w:p>
      <w:pPr>
        <w:pStyle w:val="Heading2"/>
        <w:spacing w:before="200" w:after="100"/>
      </w:pPr>
      <w:r>
        <w:rPr>
          <w:rFonts w:ascii="Calibri" w:hAnsi="Calibri" w:eastAsia="Calibri"/>
          <w:b/>
          <w:color w:val="1F4D78"/>
          <w:sz w:val="24"/>
        </w:rPr>
        <w:t>What is the most paper-ready contribution?</w:t>
      </w:r>
    </w:p>
    <w:p>
      <w:r>
        <w:t>The calibrated continuous benchmark ladder, the additive-versus-focal integration principle, the transfer-regime result, the time-awareness and interpolation negatives, and the C11 compositional negative with shallow global-input separation. Final statistics and replication are still required.</w:t>
      </w:r>
    </w:p>
    <w:p>
      <w:pPr>
        <w:pStyle w:val="Heading2"/>
        <w:spacing w:before="200" w:after="100"/>
      </w:pPr>
      <w:r>
        <w:rPr>
          <w:rFonts w:ascii="Calibri" w:hAnsi="Calibri" w:eastAsia="Calibri"/>
          <w:b/>
          <w:color w:val="1F4D78"/>
          <w:sz w:val="24"/>
        </w:rPr>
        <w:t>What should we do next?</w:t>
      </w:r>
    </w:p>
    <w:p>
      <w:r>
        <w:t>Finish the C11 scale addendum, rerun world-clustered analyses, expand discrete focal, replicate C7/C8, and run only the C12 G0 probes before committing to full training.</w:t>
      </w:r>
    </w:p>
    <w:p>
      <w:pPr>
        <w:pStyle w:val="Heading1"/>
      </w:pPr>
      <w:r>
        <w:t>15. Recommended decision sequence</w:t>
      </w:r>
    </w:p>
    <w:p>
      <w:pPr>
        <w:numPr>
          <w:ilvl w:val="0"/>
          <w:numId w:val="11"/>
        </w:numPr>
      </w:pPr>
      <w:r>
        <w:t>Complete and evaluate the live 12-run C11 scale addendum; report whether scale changes the shallow U-Net/HRM ordering or recurrent collapse.</w:t>
      </w:r>
    </w:p>
    <w:p>
      <w:pPr>
        <w:numPr>
          <w:ilvl w:val="0"/>
          <w:numId w:val="11"/>
        </w:numPr>
      </w:pPr>
      <w:r>
        <w:t>Recompute C9/C9h/C9b/C10 and C11 uncertainty with TEST world as the independent unit; add direct method-versus-method contrasts.</w:t>
      </w:r>
    </w:p>
    <w:p>
      <w:pPr>
        <w:numPr>
          <w:ilvl w:val="0"/>
          <w:numId w:val="11"/>
        </w:numPr>
      </w:pPr>
      <w:r>
        <w:t>Run a publication-scale C7/C8 replication with multiple training seeds and a success-aware reporting table.</w:t>
      </w:r>
    </w:p>
    <w:p>
      <w:pPr>
        <w:numPr>
          <w:ilvl w:val="0"/>
          <w:numId w:val="11"/>
        </w:numPr>
      </w:pPr>
      <w:r>
        <w:t>Expand learned focal search to the full discrete suite/budget matrix with paired intervals and explicit finite-budget success checks.</w:t>
      </w:r>
    </w:p>
    <w:p>
      <w:pPr>
        <w:numPr>
          <w:ilvl w:val="0"/>
          <w:numId w:val="11"/>
        </w:numPr>
      </w:pPr>
      <w:r>
        <w:t>Run C12-A G0 and C12-B G0 probes. Proceed to learned models only for tracks that pass their authorization gates.</w:t>
      </w:r>
    </w:p>
    <w:p>
      <w:pPr>
        <w:numPr>
          <w:ilvl w:val="0"/>
          <w:numId w:val="11"/>
        </w:numPr>
      </w:pPr>
      <w:r>
        <w:t>Freeze the paper outline after those reads: C6–C11 + focal as the main spine; C12 as main-text follow-up only if its gated mechanism test adds a distinct result.</w:t>
      </w:r>
    </w:p>
    <w:p>
      <w:pPr>
        <w:pStyle w:val="Heading1"/>
      </w:pPr>
      <w:r>
        <w:t>16. Canonical source map</w:t>
      </w:r>
    </w:p>
    <w:p>
      <w:pPr/>
      <w:r>
        <w:rPr>
          <w:b/>
          <w:color w:val="1F4D78"/>
        </w:rPr>
        <w:t xml:space="preserve">Primary evidence ledger: </w:t>
      </w:r>
      <w:r>
        <w:t>docs/experiments/MASTER_EXPERIMENT_SYNTHESIS.md</w:t>
      </w:r>
    </w:p>
    <w:p>
      <w:pPr>
        <w:pStyle w:val="SourceList"/>
        <w:numPr>
          <w:ilvl w:val="0"/>
          <w:numId w:val="1"/>
        </w:numPr>
      </w:pPr>
      <w:r>
        <w:t>Continuous C6: docs/experiments/continuous/c06/results/C6_RESULTS.md</w:t>
      </w:r>
    </w:p>
    <w:p>
      <w:pPr>
        <w:pStyle w:val="SourceList"/>
        <w:numPr>
          <w:ilvl w:val="0"/>
          <w:numId w:val="1"/>
        </w:numPr>
      </w:pPr>
      <w:r>
        <w:t>Continuous C7: docs/experiments/continuous/c07/results/C7_RESULTS.md</w:t>
      </w:r>
    </w:p>
    <w:p>
      <w:pPr>
        <w:pStyle w:val="SourceList"/>
        <w:numPr>
          <w:ilvl w:val="0"/>
          <w:numId w:val="1"/>
        </w:numPr>
      </w:pPr>
      <w:r>
        <w:t>Continuous C8: docs/experiments/continuous/c08/results/C8_RESULTS.md</w:t>
      </w:r>
    </w:p>
    <w:p>
      <w:pPr>
        <w:pStyle w:val="SourceList"/>
        <w:numPr>
          <w:ilvl w:val="0"/>
          <w:numId w:val="1"/>
        </w:numPr>
      </w:pPr>
      <w:r>
        <w:t>Static transfer: docs/experiments/continuous/c09/results/C9_RESULTS.md</w:t>
      </w:r>
    </w:p>
    <w:p>
      <w:pPr>
        <w:pStyle w:val="SourceList"/>
        <w:numPr>
          <w:ilvl w:val="0"/>
          <w:numId w:val="1"/>
        </w:numPr>
      </w:pPr>
      <w:r>
        <w:t>Transfer hardening: docs/experiments/continuous/c09h/results/C9H_RESULTS.md</w:t>
      </w:r>
    </w:p>
    <w:p>
      <w:pPr>
        <w:pStyle w:val="SourceList"/>
        <w:numPr>
          <w:ilvl w:val="0"/>
          <w:numId w:val="1"/>
        </w:numPr>
      </w:pPr>
      <w:r>
        <w:t>Dynamic transfer: docs/experiments/continuous/c09b/results/C9B_RESULTS.md</w:t>
      </w:r>
    </w:p>
    <w:p>
      <w:pPr>
        <w:pStyle w:val="SourceList"/>
        <w:numPr>
          <w:ilvl w:val="0"/>
          <w:numId w:val="1"/>
        </w:numPr>
      </w:pPr>
      <w:r>
        <w:t>Adapter interpolation: docs/experiments/continuous/c10/results/C10_RESULTS.md</w:t>
      </w:r>
    </w:p>
    <w:p>
      <w:pPr>
        <w:pStyle w:val="SourceList"/>
        <w:numPr>
          <w:ilvl w:val="0"/>
          <w:numId w:val="1"/>
        </w:numPr>
      </w:pPr>
      <w:r>
        <w:t>C11 headroom: docs/experiments/continuous/c11/results/C11_HEADROOM.md</w:t>
      </w:r>
    </w:p>
    <w:p>
      <w:pPr>
        <w:pStyle w:val="SourceList"/>
        <w:numPr>
          <w:ilvl w:val="0"/>
          <w:numId w:val="1"/>
        </w:numPr>
      </w:pPr>
      <w:r>
        <w:t>C11 architecture result: docs/experiments/continuous/c11/results/C11_RESULTS.md</w:t>
      </w:r>
    </w:p>
    <w:p>
      <w:pPr>
        <w:pStyle w:val="SourceList"/>
        <w:numPr>
          <w:ilvl w:val="0"/>
          <w:numId w:val="1"/>
        </w:numPr>
      </w:pPr>
      <w:r>
        <w:t>C12 approved design: docs/experiments/continuous/c12/design/2026-07-10-c12-persistent-hierarchical-planning-design.md</w:t>
      </w:r>
    </w:p>
    <w:p>
      <w:pPr>
        <w:pStyle w:val="SourceList"/>
        <w:numPr>
          <w:ilvl w:val="0"/>
          <w:numId w:val="1"/>
        </w:numPr>
      </w:pPr>
      <w:r>
        <w:t>Discrete focal: docs/experiments/discrete/learned-heuristic/results/FOCAL_SEARCH_RESULTS.md</w:t>
      </w:r>
    </w:p>
    <w:p>
      <w:pPr>
        <w:pStyle w:val="SourceList"/>
        <w:numPr>
          <w:ilvl w:val="0"/>
          <w:numId w:val="1"/>
        </w:numPr>
      </w:pPr>
      <w:r>
        <w:t>Discrete focal redesign report: docs/experiments/discrete/learned-heuristic/results/EXPERIMENT_RESULTS_FOCAL_REDESIGN.md</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blHeader w:val="true"/>
        </w:trPr>
        <w:tc>
          <w:tcPr>
            <w:tcW w:type="dxa" w:w="9360"/>
            <w:tcMar>
              <w:top w:w="80" w:type="dxa"/>
              <w:start w:w="120" w:type="dxa"/>
              <w:bottom w:w="80" w:type="dxa"/>
              <w:end w:w="120" w:type="dxa"/>
            </w:tcMar>
            <w:vAlign w:val="top"/>
            <w:shd w:fill="E8EEF5" w:val="clear"/>
            <w:tcBorders>
              <w:left w:val="single" w:sz="18" w:space="0" w:color="0B2545"/>
              <w:top w:val="single" w:sz="4" w:space="0" w:color="C9D2DD"/>
              <w:bottom w:val="single" w:sz="4" w:space="0" w:color="C9D2DD"/>
              <w:right w:val="single" w:sz="4" w:space="0" w:color="C9D2DD"/>
            </w:tcBorders>
          </w:tcPr>
          <w:p>
            <w:pPr>
              <w:spacing w:after="40"/>
            </w:pPr>
            <w:r>
              <w:rPr>
                <w:rFonts w:ascii="Calibri" w:hAnsi="Calibri" w:eastAsia="Calibri"/>
                <w:b/>
                <w:color w:val="0B2545"/>
                <w:sz w:val="18"/>
              </w:rPr>
              <w:t>FINAL REMINDER FOR THE MEETING</w:t>
            </w:r>
          </w:p>
          <w:p>
            <w:pPr>
              <w:pStyle w:val="CalloutBody"/>
            </w:pPr>
            <w:r>
              <w:t>Separate results from designs, success from solved-only expansion ratios, and architecture effects from information-access effects. The strongest story is not ‘hierarchy always wins’; it is that carefully designed interfaces reveal when learned guidance is useful and when additional structure does not pay.</w:t>
            </w:r>
          </w:p>
        </w:tc>
      </w:tr>
    </w:tbl>
    <w:p>
      <w:pPr>
        <w:spacing w:after="0" w:line="96"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right"/>
      <w:pBdr>
        <w:top w:val="single" w:sz="6" w:space="3" w:color="C9D2DD"/>
      </w:pBd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left"/>
      <w:pBdr>
        <w:bottom w:val="single" w:sz="6" w:space="3" w:color="C9D2DD"/>
      </w:pBd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1"/>
        <w:spacing w:after="80" w:line="300" w:lineRule="auto"/>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1"/>
        <w:spacing w:after="80" w:line="300" w:lineRule="auto"/>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0" w:lineRule="auto"/>
    </w:pPr>
    <w:rPr>
      <w:rFonts w:ascii="Calibri" w:hAnsi="Calibri"/>
      <w:b w:val="0"/>
      <w:i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Title">
    <w:name w:val="Brief Title"/>
    <w:pPr>
      <w:keepNext/>
      <w:widowControl/>
      <w:spacing w:before="0" w:after="100" w:line="240" w:lineRule="auto"/>
    </w:pPr>
    <w:rPr>
      <w:rFonts w:ascii="Calibri" w:hAnsi="Calibri"/>
      <w:b/>
      <w:i w:val="0"/>
      <w:color w:val="0B2545"/>
      <w:sz w:val="48"/>
    </w:rPr>
  </w:style>
  <w:style w:type="paragraph" w:customStyle="1" w:styleId="BriefSubtitle">
    <w:name w:val="Brief Subtitle"/>
    <w:pPr>
      <w:keepNext/>
      <w:widowControl/>
      <w:spacing w:before="0" w:after="280" w:line="252" w:lineRule="auto"/>
    </w:pPr>
    <w:rPr>
      <w:rFonts w:ascii="Calibri" w:hAnsi="Calibri"/>
      <w:b w:val="0"/>
      <w:i w:val="0"/>
      <w:color w:val="5B6573"/>
      <w:sz w:val="27"/>
    </w:rPr>
  </w:style>
  <w:style w:type="paragraph" w:customStyle="1" w:styleId="Kicker">
    <w:name w:val="Kicker"/>
    <w:pPr>
      <w:keepNext/>
      <w:widowControl/>
      <w:spacing w:before="0" w:after="80" w:line="240" w:lineRule="auto"/>
    </w:pPr>
    <w:rPr>
      <w:rFonts w:ascii="Calibri" w:hAnsi="Calibri"/>
      <w:b/>
      <w:i w:val="0"/>
      <w:color w:val="2E74B5"/>
      <w:sz w:val="19"/>
    </w:rPr>
  </w:style>
  <w:style w:type="paragraph" w:customStyle="1" w:styleId="CalloutBody">
    <w:name w:val="Callout Body"/>
    <w:pPr>
      <w:keepNext w:val="0"/>
      <w:widowControl/>
      <w:spacing w:before="0" w:after="40" w:line="276" w:lineRule="auto"/>
    </w:pPr>
    <w:rPr>
      <w:rFonts w:ascii="Calibri" w:hAnsi="Calibri"/>
      <w:b w:val="0"/>
      <w:i w:val="0"/>
      <w:color w:val="222222"/>
      <w:sz w:val="21"/>
    </w:rPr>
  </w:style>
  <w:style w:type="paragraph" w:customStyle="1" w:styleId="CheatBody">
    <w:name w:val="Cheat Body"/>
    <w:pPr>
      <w:keepNext w:val="0"/>
      <w:widowControl/>
      <w:spacing w:before="0" w:after="20" w:line="240" w:lineRule="auto"/>
    </w:pPr>
    <w:rPr>
      <w:rFonts w:ascii="Calibri" w:hAnsi="Calibri"/>
      <w:b w:val="0"/>
      <w:i w:val="0"/>
      <w:color w:val="222222"/>
      <w:sz w:val="18"/>
    </w:rPr>
  </w:style>
  <w:style w:type="paragraph" w:customStyle="1" w:styleId="CompactTable">
    <w:name w:val="Compact Table"/>
    <w:pPr>
      <w:keepNext w:val="0"/>
      <w:widowControl/>
      <w:spacing w:before="0" w:after="0" w:line="240" w:lineRule="auto"/>
    </w:pPr>
    <w:rPr>
      <w:rFonts w:ascii="Calibri" w:hAnsi="Calibri"/>
      <w:b w:val="0"/>
      <w:i w:val="0"/>
      <w:color w:val="222222"/>
      <w:sz w:val="17"/>
    </w:rPr>
  </w:style>
  <w:style w:type="paragraph" w:customStyle="1" w:styleId="TableBody">
    <w:name w:val="Table Body"/>
    <w:pPr>
      <w:keepNext w:val="0"/>
      <w:widowControl/>
      <w:spacing w:before="0" w:after="0" w:line="252" w:lineRule="auto"/>
    </w:pPr>
    <w:rPr>
      <w:rFonts w:ascii="Calibri" w:hAnsi="Calibri"/>
      <w:b w:val="0"/>
      <w:i w:val="0"/>
      <w:color w:val="222222"/>
      <w:sz w:val="18"/>
    </w:rPr>
  </w:style>
  <w:style w:type="paragraph" w:customStyle="1" w:styleId="TableCitation">
    <w:name w:val="Table Citation"/>
    <w:pPr>
      <w:keepNext w:val="0"/>
      <w:widowControl/>
      <w:spacing w:before="80" w:after="80" w:line="240" w:lineRule="auto"/>
    </w:pPr>
    <w:rPr>
      <w:rFonts w:ascii="Calibri" w:hAnsi="Calibri"/>
      <w:b w:val="0"/>
      <w:i/>
      <w:color w:val="5B6573"/>
      <w:sz w:val="17"/>
    </w:rPr>
  </w:style>
  <w:style w:type="paragraph" w:customStyle="1" w:styleId="SourceList">
    <w:name w:val="Source List"/>
    <w:pPr>
      <w:keepNext w:val="0"/>
      <w:widowControl/>
      <w:spacing w:before="0" w:after="40" w:line="252" w:lineRule="auto"/>
    </w:pPr>
    <w:rPr>
      <w:rFonts w:ascii="Calibri" w:hAnsi="Calibri"/>
      <w:b w:val="0"/>
      <w:i w:val="0"/>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Professor Meeting Brief — Learned Heuristics for Planning</dc:title>
  <dc:subject>Continuous-space C6–C12 experiments and discrete learned focal search</dc:subject>
  <dc:creator>HRMv2 research team</dc:creator>
  <cp:keywords>HRM, PRM, A*, focal search, continuous planning, hierarchical models</cp:keywords>
  <dc:description>generated by python-docx</dc:description>
  <cp:lastModifiedBy/>
  <cp:revision>1</cp:revision>
  <dcterms:created xsi:type="dcterms:W3CDTF">2013-12-23T23:15:00Z</dcterms:created>
  <dcterms:modified xsi:type="dcterms:W3CDTF">2013-12-23T23:15:00Z</dcterms:modified>
  <cp:category/>
</cp:coreProperties>
</file>