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BB89" w14:textId="77777777" w:rsidR="002457B9" w:rsidRPr="00D15313" w:rsidRDefault="002457B9" w:rsidP="002457B9">
      <w:pPr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94F95"/>
          <w:sz w:val="24"/>
          <w:szCs w:val="24"/>
        </w:rPr>
      </w:pPr>
      <w:r w:rsidRPr="00D15313">
        <w:rPr>
          <w:rFonts w:ascii="Times New Roman" w:eastAsia="Times New Roman" w:hAnsi="Times New Roman" w:cs="Times New Roman"/>
          <w:b/>
          <w:bCs/>
          <w:color w:val="294F95"/>
          <w:sz w:val="24"/>
          <w:szCs w:val="24"/>
        </w:rPr>
        <w:t>ИНФОРМАЦИЯ ЗА ПАЦИЕНТА</w:t>
      </w:r>
    </w:p>
    <w:p w14:paraId="4D7629DF" w14:textId="77777777" w:rsidR="002457B9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</w:p>
    <w:p w14:paraId="49312534" w14:textId="77777777" w:rsidR="002457B9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</w:p>
    <w:p w14:paraId="7D6D29E2" w14:textId="77777777" w:rsidR="002457B9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D15313">
        <w:rPr>
          <w:rFonts w:ascii="Times New Roman" w:eastAsia="Times New Roman" w:hAnsi="Times New Roman" w:cs="Times New Roman"/>
          <w:b/>
          <w:bCs/>
          <w:color w:val="294F95"/>
        </w:rPr>
        <w:t>Прочетете внимателно цялата листовка, тъй като тя съдържа важна и полезна за Вас информация.</w:t>
      </w:r>
    </w:p>
    <w:p w14:paraId="5FECB5D1" w14:textId="77777777" w:rsidR="002457B9" w:rsidRPr="00D15313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</w:p>
    <w:p w14:paraId="1707F05D" w14:textId="77777777" w:rsidR="002457B9" w:rsidRPr="00D15313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D15313">
        <w:rPr>
          <w:rFonts w:ascii="Times New Roman" w:eastAsia="Times New Roman" w:hAnsi="Times New Roman" w:cs="Times New Roman"/>
          <w:b/>
          <w:bCs/>
          <w:color w:val="294F95"/>
        </w:rPr>
        <w:t xml:space="preserve">Какво представлява </w:t>
      </w:r>
      <w:proofErr w:type="spellStart"/>
      <w:r w:rsidRPr="00D15313">
        <w:rPr>
          <w:rFonts w:ascii="Times New Roman" w:eastAsia="Times New Roman" w:hAnsi="Times New Roman" w:cs="Times New Roman"/>
          <w:b/>
          <w:bCs/>
          <w:color w:val="294F95"/>
        </w:rPr>
        <w:t>Gutera</w:t>
      </w:r>
      <w:proofErr w:type="spellEnd"/>
      <w:r w:rsidRPr="00D15313">
        <w:rPr>
          <w:rFonts w:ascii="Times New Roman" w:eastAsia="Times New Roman" w:hAnsi="Times New Roman" w:cs="Times New Roman"/>
          <w:b/>
          <w:bCs/>
          <w:color w:val="294F95"/>
        </w:rPr>
        <w:t>™</w:t>
      </w:r>
    </w:p>
    <w:p w14:paraId="269CE6AB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Gutera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™ е иновативен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нутриент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, създаден да подпомага естествения ритъм на храносмилателната система и да поддържа балансиран чревен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микробиом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 по физиологичен път.</w:t>
      </w:r>
    </w:p>
    <w:p w14:paraId="6C4A0184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Gutera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>™ допринася за възстановяване на полезната чревна микрофлора и намалява усещането за функционален стомашно-чревен дискомфорт.</w:t>
      </w:r>
    </w:p>
    <w:p w14:paraId="6E290529" w14:textId="77777777" w:rsidR="002457B9" w:rsidRPr="00D15313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D15313">
        <w:rPr>
          <w:rFonts w:ascii="Times New Roman" w:eastAsia="Times New Roman" w:hAnsi="Times New Roman" w:cs="Times New Roman"/>
          <w:b/>
          <w:bCs/>
          <w:color w:val="294F95"/>
        </w:rPr>
        <w:t xml:space="preserve">Как действа </w:t>
      </w:r>
      <w:proofErr w:type="spellStart"/>
      <w:r w:rsidRPr="00D15313">
        <w:rPr>
          <w:rFonts w:ascii="Times New Roman" w:eastAsia="Times New Roman" w:hAnsi="Times New Roman" w:cs="Times New Roman"/>
          <w:b/>
          <w:bCs/>
          <w:color w:val="294F95"/>
        </w:rPr>
        <w:t>Gutera</w:t>
      </w:r>
      <w:proofErr w:type="spellEnd"/>
      <w:r w:rsidRPr="00D15313">
        <w:rPr>
          <w:rFonts w:ascii="Times New Roman" w:eastAsia="Times New Roman" w:hAnsi="Times New Roman" w:cs="Times New Roman"/>
          <w:b/>
          <w:bCs/>
          <w:color w:val="294F95"/>
        </w:rPr>
        <w:t>™</w:t>
      </w:r>
    </w:p>
    <w:p w14:paraId="36B7D86D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tab/>
        <w:t>•</w:t>
      </w:r>
      <w:r>
        <w:rPr>
          <w:rFonts w:ascii="Times New Roman" w:eastAsia="Times New Roman" w:hAnsi="Times New Roman" w:cs="Times New Roman"/>
          <w:color w:val="294F95"/>
        </w:rPr>
        <w:t xml:space="preserve"> </w:t>
      </w:r>
      <w:r w:rsidRPr="00D15313">
        <w:rPr>
          <w:rFonts w:ascii="Times New Roman" w:eastAsia="Times New Roman" w:hAnsi="Times New Roman" w:cs="Times New Roman"/>
          <w:color w:val="294F95"/>
        </w:rPr>
        <w:t xml:space="preserve">Формулата осигурява ключови „градивни елементи“ за Вашия собствен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микробиом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, без да съдържа добавени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пробиотични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 щамове или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инактивирани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 бактерии.</w:t>
      </w:r>
    </w:p>
    <w:p w14:paraId="45F6A20B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tab/>
        <w:t>•</w:t>
      </w:r>
      <w:r>
        <w:rPr>
          <w:rFonts w:ascii="Times New Roman" w:eastAsia="Times New Roman" w:hAnsi="Times New Roman" w:cs="Times New Roman"/>
          <w:color w:val="294F95"/>
        </w:rPr>
        <w:t xml:space="preserve"> </w:t>
      </w:r>
      <w:r w:rsidRPr="00D15313">
        <w:rPr>
          <w:rFonts w:ascii="Times New Roman" w:eastAsia="Times New Roman" w:hAnsi="Times New Roman" w:cs="Times New Roman"/>
          <w:color w:val="294F95"/>
        </w:rPr>
        <w:t xml:space="preserve">Вместо да въвежда външни бактерии,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Gutera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™ стимулира естествената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микробиомна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 активност отвътре и подкрепя благоприятните бактерии в червата.</w:t>
      </w:r>
    </w:p>
    <w:p w14:paraId="21B34EAC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tab/>
        <w:t>•</w:t>
      </w:r>
      <w:r>
        <w:rPr>
          <w:rFonts w:ascii="Times New Roman" w:eastAsia="Times New Roman" w:hAnsi="Times New Roman" w:cs="Times New Roman"/>
          <w:color w:val="294F95"/>
        </w:rPr>
        <w:t xml:space="preserve"> </w:t>
      </w:r>
      <w:r w:rsidRPr="00D15313">
        <w:rPr>
          <w:rFonts w:ascii="Times New Roman" w:eastAsia="Times New Roman" w:hAnsi="Times New Roman" w:cs="Times New Roman"/>
          <w:color w:val="294F95"/>
        </w:rPr>
        <w:t xml:space="preserve">При ферментацията на съдържащите се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нутриенти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 „добрите“ бактерии образуват късо верижни мастни киселини –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бутират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,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пропионат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 и ацетат, които поддържат здравето на чревната лигавица, подпомагат бариерната функция и участват в сигнални пътища към имунната и нервната система.</w:t>
      </w:r>
    </w:p>
    <w:p w14:paraId="76DDEBAE" w14:textId="77777777" w:rsidR="002457B9" w:rsidRPr="00D15313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D15313">
        <w:rPr>
          <w:rFonts w:ascii="Times New Roman" w:eastAsia="Times New Roman" w:hAnsi="Times New Roman" w:cs="Times New Roman"/>
          <w:b/>
          <w:bCs/>
          <w:color w:val="294F95"/>
        </w:rPr>
        <w:t>Подкрепа на чревната бариера</w:t>
      </w:r>
    </w:p>
    <w:p w14:paraId="3AA77230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Gutera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>™ доставя L-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глутамин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 и свързани аминокиселини, които подпомагат възстановяването и поддържането на структурата на чревната стена.</w:t>
      </w:r>
    </w:p>
    <w:p w14:paraId="44D47E91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t>Това е особено важно при повишена чревна пропускливост или раздразнена лигавица, когато е необходима допълнителна подкрепа за регенерация и успокояване на тъканите.</w:t>
      </w:r>
    </w:p>
    <w:p w14:paraId="2708666E" w14:textId="77777777" w:rsidR="002457B9" w:rsidRPr="00D15313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D15313">
        <w:rPr>
          <w:rFonts w:ascii="Times New Roman" w:eastAsia="Times New Roman" w:hAnsi="Times New Roman" w:cs="Times New Roman"/>
          <w:b/>
          <w:bCs/>
          <w:color w:val="294F95"/>
        </w:rPr>
        <w:t xml:space="preserve">Почистване и </w:t>
      </w:r>
      <w:proofErr w:type="spellStart"/>
      <w:r w:rsidRPr="00D15313">
        <w:rPr>
          <w:rFonts w:ascii="Times New Roman" w:eastAsia="Times New Roman" w:hAnsi="Times New Roman" w:cs="Times New Roman"/>
          <w:b/>
          <w:bCs/>
          <w:color w:val="294F95"/>
        </w:rPr>
        <w:t>детокс</w:t>
      </w:r>
      <w:proofErr w:type="spellEnd"/>
      <w:r w:rsidRPr="00D15313">
        <w:rPr>
          <w:rFonts w:ascii="Times New Roman" w:eastAsia="Times New Roman" w:hAnsi="Times New Roman" w:cs="Times New Roman"/>
          <w:b/>
          <w:bCs/>
          <w:color w:val="294F95"/>
        </w:rPr>
        <w:t xml:space="preserve"> подкрепа</w:t>
      </w:r>
    </w:p>
    <w:p w14:paraId="084E5711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t xml:space="preserve">Чрез комбинирано механично и биохимично действие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Gutera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>™ подпомага нормализирането на чревната моторика.</w:t>
      </w:r>
    </w:p>
    <w:p w14:paraId="406ED721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t>По-ефективната моторика и секреция в червата подобряват смазването и отделянето на слуз, улесняват пасажа на храната и отпадните продукти и ограничават задържането на нежелани вещества.</w:t>
      </w:r>
    </w:p>
    <w:p w14:paraId="773FF06A" w14:textId="77777777" w:rsidR="002457B9" w:rsidRPr="00D15313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D15313">
        <w:rPr>
          <w:rFonts w:ascii="Times New Roman" w:eastAsia="Times New Roman" w:hAnsi="Times New Roman" w:cs="Times New Roman"/>
          <w:b/>
          <w:bCs/>
          <w:color w:val="294F95"/>
        </w:rPr>
        <w:t xml:space="preserve">Кога да използвате </w:t>
      </w:r>
      <w:proofErr w:type="spellStart"/>
      <w:r w:rsidRPr="00D15313">
        <w:rPr>
          <w:rFonts w:ascii="Times New Roman" w:eastAsia="Times New Roman" w:hAnsi="Times New Roman" w:cs="Times New Roman"/>
          <w:b/>
          <w:bCs/>
          <w:color w:val="294F95"/>
        </w:rPr>
        <w:t>Gutera</w:t>
      </w:r>
      <w:proofErr w:type="spellEnd"/>
      <w:r w:rsidRPr="00D15313">
        <w:rPr>
          <w:rFonts w:ascii="Times New Roman" w:eastAsia="Times New Roman" w:hAnsi="Times New Roman" w:cs="Times New Roman"/>
          <w:b/>
          <w:bCs/>
          <w:color w:val="294F95"/>
        </w:rPr>
        <w:t>™</w:t>
      </w:r>
    </w:p>
    <w:p w14:paraId="6AF71422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Gutera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>™ може да бъде подходящ избор при:</w:t>
      </w:r>
    </w:p>
    <w:p w14:paraId="23CC3F7C" w14:textId="77777777" w:rsidR="002457B9" w:rsidRPr="0010515A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tab/>
        <w:t>•</w:t>
      </w:r>
      <w:r>
        <w:rPr>
          <w:rFonts w:ascii="Times New Roman" w:eastAsia="Times New Roman" w:hAnsi="Times New Roman" w:cs="Times New Roman"/>
          <w:color w:val="294F95"/>
        </w:rPr>
        <w:t xml:space="preserve"> </w:t>
      </w:r>
      <w:r w:rsidRPr="00D15313">
        <w:rPr>
          <w:rFonts w:ascii="Times New Roman" w:eastAsia="Times New Roman" w:hAnsi="Times New Roman" w:cs="Times New Roman"/>
          <w:color w:val="294F95"/>
        </w:rPr>
        <w:t>Промяна в хранителния режим: сезонни вариации в храненето</w:t>
      </w:r>
      <w:r>
        <w:rPr>
          <w:rFonts w:ascii="Times New Roman" w:eastAsia="Times New Roman" w:hAnsi="Times New Roman" w:cs="Times New Roman"/>
          <w:color w:val="294F95"/>
        </w:rPr>
        <w:t>;</w:t>
      </w:r>
      <w:r w:rsidRPr="00D15313">
        <w:rPr>
          <w:rFonts w:ascii="Times New Roman" w:eastAsia="Times New Roman" w:hAnsi="Times New Roman" w:cs="Times New Roman"/>
          <w:color w:val="294F95"/>
        </w:rPr>
        <w:t xml:space="preserve"> начало или край на ограничаваща диета</w:t>
      </w:r>
      <w:r>
        <w:rPr>
          <w:rFonts w:ascii="Times New Roman" w:eastAsia="Times New Roman" w:hAnsi="Times New Roman" w:cs="Times New Roman"/>
          <w:color w:val="294F95"/>
        </w:rPr>
        <w:t>;</w:t>
      </w:r>
      <w:r w:rsidRPr="00D15313">
        <w:rPr>
          <w:rFonts w:ascii="Times New Roman" w:eastAsia="Times New Roman" w:hAnsi="Times New Roman" w:cs="Times New Roman"/>
          <w:color w:val="294F95"/>
        </w:rPr>
        <w:t xml:space="preserve"> </w:t>
      </w:r>
      <w:r w:rsidRPr="0010515A">
        <w:rPr>
          <w:rFonts w:ascii="Times New Roman" w:eastAsia="Times New Roman" w:hAnsi="Times New Roman" w:cs="Times New Roman"/>
          <w:color w:val="294F95"/>
        </w:rPr>
        <w:t>хранене, адаптирано към повишено мускулно натоварване</w:t>
      </w:r>
      <w:r>
        <w:rPr>
          <w:rFonts w:ascii="Times New Roman" w:eastAsia="Times New Roman" w:hAnsi="Times New Roman" w:cs="Times New Roman"/>
          <w:color w:val="294F95"/>
        </w:rPr>
        <w:t>;</w:t>
      </w:r>
      <w:r w:rsidRPr="0010515A">
        <w:rPr>
          <w:rFonts w:ascii="Times New Roman" w:eastAsia="Times New Roman" w:hAnsi="Times New Roman" w:cs="Times New Roman"/>
          <w:color w:val="294F95"/>
        </w:rPr>
        <w:t xml:space="preserve"> висок протеинов прием.</w:t>
      </w:r>
    </w:p>
    <w:p w14:paraId="6DAC3782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tab/>
        <w:t>•</w:t>
      </w:r>
      <w:r>
        <w:rPr>
          <w:rFonts w:ascii="Times New Roman" w:eastAsia="Times New Roman" w:hAnsi="Times New Roman" w:cs="Times New Roman"/>
          <w:color w:val="294F95"/>
        </w:rPr>
        <w:t xml:space="preserve"> </w:t>
      </w:r>
      <w:r w:rsidRPr="00D15313">
        <w:rPr>
          <w:rFonts w:ascii="Times New Roman" w:eastAsia="Times New Roman" w:hAnsi="Times New Roman" w:cs="Times New Roman"/>
          <w:color w:val="294F95"/>
        </w:rPr>
        <w:t>Временни стомашно-чревни смущения, свързани с нарушена чревна подвижност.</w:t>
      </w:r>
    </w:p>
    <w:p w14:paraId="02DA70AA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lastRenderedPageBreak/>
        <w:tab/>
        <w:t>•</w:t>
      </w:r>
      <w:r>
        <w:rPr>
          <w:rFonts w:ascii="Times New Roman" w:eastAsia="Times New Roman" w:hAnsi="Times New Roman" w:cs="Times New Roman"/>
          <w:color w:val="294F95"/>
        </w:rPr>
        <w:t xml:space="preserve"> </w:t>
      </w:r>
      <w:r w:rsidRPr="00D15313">
        <w:rPr>
          <w:rFonts w:ascii="Times New Roman" w:eastAsia="Times New Roman" w:hAnsi="Times New Roman" w:cs="Times New Roman"/>
          <w:color w:val="294F95"/>
        </w:rPr>
        <w:t xml:space="preserve">Промени в чревната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микробиота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 xml:space="preserve"> и повишена чревна чувствителност, свързани с изменения в чревната лигавица.</w:t>
      </w:r>
    </w:p>
    <w:p w14:paraId="1120D5BE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tab/>
        <w:t>•</w:t>
      </w:r>
      <w:r>
        <w:rPr>
          <w:rFonts w:ascii="Times New Roman" w:eastAsia="Times New Roman" w:hAnsi="Times New Roman" w:cs="Times New Roman"/>
          <w:color w:val="294F95"/>
        </w:rPr>
        <w:t xml:space="preserve"> </w:t>
      </w:r>
      <w:r w:rsidRPr="00D15313">
        <w:rPr>
          <w:rFonts w:ascii="Times New Roman" w:eastAsia="Times New Roman" w:hAnsi="Times New Roman" w:cs="Times New Roman"/>
          <w:color w:val="294F95"/>
        </w:rPr>
        <w:t>Чести пътувания, при които се променя обичайният хранителен режим.</w:t>
      </w:r>
    </w:p>
    <w:p w14:paraId="33B4A568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tab/>
        <w:t>•</w:t>
      </w:r>
      <w:r>
        <w:rPr>
          <w:rFonts w:ascii="Times New Roman" w:eastAsia="Times New Roman" w:hAnsi="Times New Roman" w:cs="Times New Roman"/>
          <w:color w:val="294F95"/>
        </w:rPr>
        <w:t xml:space="preserve"> </w:t>
      </w:r>
      <w:r w:rsidRPr="00D15313">
        <w:rPr>
          <w:rFonts w:ascii="Times New Roman" w:eastAsia="Times New Roman" w:hAnsi="Times New Roman" w:cs="Times New Roman"/>
          <w:color w:val="294F95"/>
        </w:rPr>
        <w:t>Малка физическа активност, както и при навици като честа употреба на алкохол и тютюнопушене.</w:t>
      </w:r>
    </w:p>
    <w:p w14:paraId="343A46EC" w14:textId="77777777" w:rsidR="002457B9" w:rsidRPr="00D15313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D15313">
        <w:rPr>
          <w:rFonts w:ascii="Times New Roman" w:eastAsia="Times New Roman" w:hAnsi="Times New Roman" w:cs="Times New Roman"/>
          <w:b/>
          <w:bCs/>
          <w:color w:val="294F95"/>
        </w:rPr>
        <w:t>Обобщение на действието</w:t>
      </w:r>
    </w:p>
    <w:p w14:paraId="3ABF91CB" w14:textId="77777777" w:rsidR="002457B9" w:rsidRPr="00D15313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D15313">
        <w:rPr>
          <w:rFonts w:ascii="Times New Roman" w:eastAsia="Times New Roman" w:hAnsi="Times New Roman" w:cs="Times New Roman"/>
          <w:color w:val="294F95"/>
        </w:rPr>
        <w:t xml:space="preserve">Механизмът на действие на </w:t>
      </w:r>
      <w:proofErr w:type="spellStart"/>
      <w:r w:rsidRPr="00D15313">
        <w:rPr>
          <w:rFonts w:ascii="Times New Roman" w:eastAsia="Times New Roman" w:hAnsi="Times New Roman" w:cs="Times New Roman"/>
          <w:color w:val="294F95"/>
        </w:rPr>
        <w:t>Gutera</w:t>
      </w:r>
      <w:proofErr w:type="spellEnd"/>
      <w:r w:rsidRPr="00D15313">
        <w:rPr>
          <w:rFonts w:ascii="Times New Roman" w:eastAsia="Times New Roman" w:hAnsi="Times New Roman" w:cs="Times New Roman"/>
          <w:color w:val="294F95"/>
        </w:rPr>
        <w:t>™ следва логиката на храносмилателната система, като повлиява последователно веригата:</w:t>
      </w:r>
    </w:p>
    <w:p w14:paraId="6248EC37" w14:textId="77777777" w:rsidR="002457B9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E94EB1">
        <w:rPr>
          <w:rFonts w:ascii="Times New Roman" w:eastAsia="Times New Roman" w:hAnsi="Times New Roman" w:cs="Times New Roman"/>
          <w:b/>
          <w:bCs/>
          <w:color w:val="294F95"/>
        </w:rPr>
        <w:t xml:space="preserve">хранителен субстрат → </w:t>
      </w:r>
      <w:proofErr w:type="spellStart"/>
      <w:r w:rsidRPr="00E94EB1">
        <w:rPr>
          <w:rFonts w:ascii="Times New Roman" w:eastAsia="Times New Roman" w:hAnsi="Times New Roman" w:cs="Times New Roman"/>
          <w:b/>
          <w:bCs/>
          <w:color w:val="294F95"/>
        </w:rPr>
        <w:t>микробиом</w:t>
      </w:r>
      <w:proofErr w:type="spellEnd"/>
      <w:r w:rsidRPr="00E94EB1">
        <w:rPr>
          <w:rFonts w:ascii="Times New Roman" w:eastAsia="Times New Roman" w:hAnsi="Times New Roman" w:cs="Times New Roman"/>
          <w:b/>
          <w:bCs/>
          <w:color w:val="294F95"/>
        </w:rPr>
        <w:t xml:space="preserve"> → метаболити → рецептори → моторика и имунитет → почистване и детоксикация → усещане за комфорт.</w:t>
      </w:r>
    </w:p>
    <w:p w14:paraId="229AE129" w14:textId="77777777" w:rsidR="002457B9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</w:p>
    <w:p w14:paraId="2ABC99F1" w14:textId="77777777" w:rsidR="002457B9" w:rsidRDefault="002457B9" w:rsidP="002457B9">
      <w:pPr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iCs/>
          <w:color w:val="294F95"/>
          <w:sz w:val="28"/>
          <w:szCs w:val="28"/>
        </w:rPr>
      </w:pPr>
    </w:p>
    <w:p w14:paraId="206A874C" w14:textId="77777777" w:rsidR="002457B9" w:rsidRDefault="002457B9" w:rsidP="002457B9">
      <w:pPr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iCs/>
          <w:color w:val="294F95"/>
          <w:sz w:val="28"/>
          <w:szCs w:val="28"/>
        </w:rPr>
      </w:pPr>
    </w:p>
    <w:p w14:paraId="31D532CC" w14:textId="77777777" w:rsidR="002457B9" w:rsidRDefault="002457B9" w:rsidP="002457B9">
      <w:pPr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iCs/>
          <w:color w:val="294F95"/>
          <w:sz w:val="28"/>
          <w:szCs w:val="28"/>
        </w:rPr>
      </w:pPr>
    </w:p>
    <w:p w14:paraId="5B0A7AD3" w14:textId="77777777" w:rsidR="002457B9" w:rsidRPr="00FF2A27" w:rsidRDefault="002457B9" w:rsidP="002457B9">
      <w:pPr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94F95"/>
        </w:rPr>
      </w:pPr>
      <w:r w:rsidRPr="00EF72C2">
        <w:rPr>
          <w:rFonts w:ascii="Arial" w:eastAsia="Times New Roman" w:hAnsi="Arial" w:cs="Arial"/>
          <w:b/>
          <w:bCs/>
          <w:iCs/>
          <w:color w:val="294F95"/>
          <w:sz w:val="28"/>
          <w:szCs w:val="28"/>
        </w:rPr>
        <w:t>Продуктова информация</w:t>
      </w:r>
    </w:p>
    <w:p w14:paraId="3C16CBC4" w14:textId="77777777" w:rsidR="002457B9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</w:p>
    <w:p w14:paraId="5193F33F" w14:textId="77777777" w:rsidR="002457B9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</w:p>
    <w:p w14:paraId="33E797F2" w14:textId="77777777" w:rsidR="002457B9" w:rsidRPr="00FF2A27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FF2A27">
        <w:rPr>
          <w:rFonts w:ascii="Times New Roman" w:eastAsia="Times New Roman" w:hAnsi="Times New Roman" w:cs="Times New Roman"/>
          <w:b/>
          <w:bCs/>
          <w:color w:val="294F95"/>
        </w:rPr>
        <w:t xml:space="preserve">Как се приема </w:t>
      </w:r>
      <w:proofErr w:type="spellStart"/>
      <w:r w:rsidRPr="00FF2A27">
        <w:rPr>
          <w:rFonts w:ascii="Times New Roman" w:eastAsia="Times New Roman" w:hAnsi="Times New Roman" w:cs="Times New Roman"/>
          <w:b/>
          <w:bCs/>
          <w:color w:val="294F95"/>
        </w:rPr>
        <w:t>Gutera</w:t>
      </w:r>
      <w:proofErr w:type="spellEnd"/>
      <w:r w:rsidRPr="00FF2A27">
        <w:rPr>
          <w:rFonts w:ascii="Times New Roman" w:eastAsia="Times New Roman" w:hAnsi="Times New Roman" w:cs="Times New Roman"/>
          <w:b/>
          <w:bCs/>
          <w:color w:val="294F95"/>
        </w:rPr>
        <w:t>™</w:t>
      </w:r>
    </w:p>
    <w:p w14:paraId="56BCF382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 xml:space="preserve">Разтворете съдържанието на едно саше </w:t>
      </w:r>
      <w:proofErr w:type="spellStart"/>
      <w:r w:rsidRPr="00FF2A27">
        <w:rPr>
          <w:rFonts w:ascii="Times New Roman" w:eastAsia="Times New Roman" w:hAnsi="Times New Roman" w:cs="Times New Roman"/>
          <w:color w:val="294F95"/>
        </w:rPr>
        <w:t>Gutera</w:t>
      </w:r>
      <w:proofErr w:type="spellEnd"/>
      <w:r w:rsidRPr="00FF2A27">
        <w:rPr>
          <w:rFonts w:ascii="Times New Roman" w:eastAsia="Times New Roman" w:hAnsi="Times New Roman" w:cs="Times New Roman"/>
          <w:color w:val="294F95"/>
        </w:rPr>
        <w:t>™ в чаша вода и разбъркайте добре.</w:t>
      </w:r>
    </w:p>
    <w:p w14:paraId="29D69ED7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>Изчакайте 1–2 минути, разбъркайте отново и изпийте цялото количество.</w:t>
      </w:r>
    </w:p>
    <w:p w14:paraId="29986510" w14:textId="77777777" w:rsidR="002457B9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</w:p>
    <w:p w14:paraId="5669F12D" w14:textId="77777777" w:rsidR="002457B9" w:rsidRPr="00FF2A27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FF2A27">
        <w:rPr>
          <w:rFonts w:ascii="Times New Roman" w:eastAsia="Times New Roman" w:hAnsi="Times New Roman" w:cs="Times New Roman"/>
          <w:b/>
          <w:bCs/>
          <w:color w:val="294F95"/>
        </w:rPr>
        <w:t>Препоръчителен дневен прием</w:t>
      </w:r>
    </w:p>
    <w:p w14:paraId="3956276F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>Приемайте по едно саше дневно, разтворено в чаша вода.</w:t>
      </w:r>
    </w:p>
    <w:p w14:paraId="3933B03B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>Подходящ е сутрешен прием преди храна или вечерен – след последното хранене за деня.</w:t>
      </w:r>
    </w:p>
    <w:p w14:paraId="0EFC9849" w14:textId="77777777" w:rsidR="002457B9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</w:p>
    <w:p w14:paraId="0B6ADBA0" w14:textId="77777777" w:rsidR="002457B9" w:rsidRPr="00FF2A27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FF2A27">
        <w:rPr>
          <w:rFonts w:ascii="Times New Roman" w:eastAsia="Times New Roman" w:hAnsi="Times New Roman" w:cs="Times New Roman"/>
          <w:b/>
          <w:bCs/>
          <w:color w:val="294F95"/>
        </w:rPr>
        <w:t>Продължителност на приема</w:t>
      </w:r>
    </w:p>
    <w:p w14:paraId="1D7837F5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>Започнете с 10 дни прием по едно саше дневно, след което направете 20-дневна пауза.</w:t>
      </w:r>
    </w:p>
    <w:p w14:paraId="280779A3" w14:textId="556CA71B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 xml:space="preserve">Този цикъл </w:t>
      </w:r>
      <w:r w:rsidR="00E466CD">
        <w:rPr>
          <w:rFonts w:ascii="Times New Roman" w:eastAsia="Times New Roman" w:hAnsi="Times New Roman" w:cs="Times New Roman"/>
          <w:color w:val="294F95"/>
        </w:rPr>
        <w:t>трябва</w:t>
      </w:r>
      <w:r w:rsidRPr="00FF2A27">
        <w:rPr>
          <w:rFonts w:ascii="Times New Roman" w:eastAsia="Times New Roman" w:hAnsi="Times New Roman" w:cs="Times New Roman"/>
          <w:color w:val="294F95"/>
        </w:rPr>
        <w:t xml:space="preserve"> да се повтори в рамките на три последователни месеца, </w:t>
      </w:r>
      <w:r w:rsidR="00E466CD">
        <w:rPr>
          <w:rFonts w:ascii="Times New Roman" w:eastAsia="Times New Roman" w:hAnsi="Times New Roman" w:cs="Times New Roman"/>
          <w:color w:val="294F95"/>
        </w:rPr>
        <w:t xml:space="preserve">поне </w:t>
      </w:r>
      <w:r w:rsidRPr="00FF2A27">
        <w:rPr>
          <w:rFonts w:ascii="Times New Roman" w:eastAsia="Times New Roman" w:hAnsi="Times New Roman" w:cs="Times New Roman"/>
          <w:color w:val="294F95"/>
        </w:rPr>
        <w:t>два пъти годишно.</w:t>
      </w:r>
    </w:p>
    <w:p w14:paraId="41D22E91" w14:textId="77777777" w:rsidR="002457B9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</w:p>
    <w:p w14:paraId="37514E0A" w14:textId="77777777" w:rsidR="002457B9" w:rsidRPr="00FF2A27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FF2A27">
        <w:rPr>
          <w:rFonts w:ascii="Times New Roman" w:eastAsia="Times New Roman" w:hAnsi="Times New Roman" w:cs="Times New Roman"/>
          <w:b/>
          <w:bCs/>
          <w:color w:val="294F95"/>
        </w:rPr>
        <w:t>Възможни нежелани ефекти</w:t>
      </w:r>
    </w:p>
    <w:p w14:paraId="452B958C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 xml:space="preserve">Формулата на </w:t>
      </w:r>
      <w:proofErr w:type="spellStart"/>
      <w:r w:rsidRPr="00FF2A27">
        <w:rPr>
          <w:rFonts w:ascii="Times New Roman" w:eastAsia="Times New Roman" w:hAnsi="Times New Roman" w:cs="Times New Roman"/>
          <w:color w:val="294F95"/>
        </w:rPr>
        <w:t>Gutera</w:t>
      </w:r>
      <w:proofErr w:type="spellEnd"/>
      <w:r w:rsidRPr="00FF2A27">
        <w:rPr>
          <w:rFonts w:ascii="Times New Roman" w:eastAsia="Times New Roman" w:hAnsi="Times New Roman" w:cs="Times New Roman"/>
          <w:color w:val="294F95"/>
        </w:rPr>
        <w:t>™ е базирана на безопасни, балансирани и оптимално съчетани съставки.</w:t>
      </w:r>
    </w:p>
    <w:p w14:paraId="2945060A" w14:textId="3C5671DB" w:rsidR="00CF08E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 xml:space="preserve">До момента не са наблюдавани нежелани ефекти и </w:t>
      </w:r>
      <w:r w:rsidR="00CF08E7">
        <w:rPr>
          <w:rFonts w:ascii="Times New Roman" w:eastAsia="Times New Roman" w:hAnsi="Times New Roman" w:cs="Times New Roman"/>
          <w:color w:val="294F95"/>
        </w:rPr>
        <w:t xml:space="preserve">такива не се очакват. </w:t>
      </w:r>
    </w:p>
    <w:p w14:paraId="3414F360" w14:textId="5E5CCD83" w:rsidR="002457B9" w:rsidRPr="00FF2A27" w:rsidRDefault="00CF08E7" w:rsidP="002457B9">
      <w:pPr>
        <w:rPr>
          <w:rFonts w:ascii="Times New Roman" w:eastAsia="Times New Roman" w:hAnsi="Times New Roman" w:cs="Times New Roman"/>
          <w:color w:val="294F95"/>
        </w:rPr>
      </w:pPr>
      <w:r>
        <w:rPr>
          <w:rFonts w:ascii="Times New Roman" w:eastAsia="Times New Roman" w:hAnsi="Times New Roman" w:cs="Times New Roman"/>
          <w:color w:val="294F95"/>
        </w:rPr>
        <w:t>П</w:t>
      </w:r>
      <w:r w:rsidR="002457B9" w:rsidRPr="00FF2A27">
        <w:rPr>
          <w:rFonts w:ascii="Times New Roman" w:eastAsia="Times New Roman" w:hAnsi="Times New Roman" w:cs="Times New Roman"/>
          <w:color w:val="294F95"/>
        </w:rPr>
        <w:t>родуктът е подходящ за продължителна употреба.</w:t>
      </w:r>
    </w:p>
    <w:p w14:paraId="22C989B6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proofErr w:type="spellStart"/>
      <w:r w:rsidRPr="00FF2A27">
        <w:rPr>
          <w:rFonts w:ascii="Times New Roman" w:eastAsia="Times New Roman" w:hAnsi="Times New Roman" w:cs="Times New Roman"/>
          <w:color w:val="294F95"/>
        </w:rPr>
        <w:lastRenderedPageBreak/>
        <w:t>Gutera</w:t>
      </w:r>
      <w:proofErr w:type="spellEnd"/>
      <w:r w:rsidRPr="00FF2A27">
        <w:rPr>
          <w:rFonts w:ascii="Times New Roman" w:eastAsia="Times New Roman" w:hAnsi="Times New Roman" w:cs="Times New Roman"/>
          <w:color w:val="294F95"/>
        </w:rPr>
        <w:t>™ няма слабително действие, не предизвиква газообразуване и не ускорява чревната перисталтика.</w:t>
      </w:r>
    </w:p>
    <w:p w14:paraId="28B4CACF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>Продуктът е наличен в аптечната мрежа без рецепта.</w:t>
      </w:r>
    </w:p>
    <w:p w14:paraId="3AD529D0" w14:textId="77777777" w:rsidR="002457B9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</w:p>
    <w:p w14:paraId="1EB1D666" w14:textId="77777777" w:rsidR="002457B9" w:rsidRPr="00FF2A27" w:rsidRDefault="002457B9" w:rsidP="002457B9">
      <w:pPr>
        <w:rPr>
          <w:rFonts w:ascii="Times New Roman" w:eastAsia="Times New Roman" w:hAnsi="Times New Roman" w:cs="Times New Roman"/>
          <w:b/>
          <w:bCs/>
          <w:color w:val="294F95"/>
        </w:rPr>
      </w:pPr>
      <w:r w:rsidRPr="00FF2A27">
        <w:rPr>
          <w:rFonts w:ascii="Times New Roman" w:eastAsia="Times New Roman" w:hAnsi="Times New Roman" w:cs="Times New Roman"/>
          <w:b/>
          <w:bCs/>
          <w:color w:val="294F95"/>
        </w:rPr>
        <w:t xml:space="preserve">Как да съхранявате </w:t>
      </w:r>
      <w:proofErr w:type="spellStart"/>
      <w:r w:rsidRPr="00FF2A27">
        <w:rPr>
          <w:rFonts w:ascii="Times New Roman" w:eastAsia="Times New Roman" w:hAnsi="Times New Roman" w:cs="Times New Roman"/>
          <w:b/>
          <w:bCs/>
          <w:color w:val="294F95"/>
        </w:rPr>
        <w:t>Gutera</w:t>
      </w:r>
      <w:proofErr w:type="spellEnd"/>
      <w:r w:rsidRPr="00FF2A27">
        <w:rPr>
          <w:rFonts w:ascii="Times New Roman" w:eastAsia="Times New Roman" w:hAnsi="Times New Roman" w:cs="Times New Roman"/>
          <w:b/>
          <w:bCs/>
          <w:color w:val="294F95"/>
        </w:rPr>
        <w:t>™</w:t>
      </w:r>
    </w:p>
    <w:p w14:paraId="277AC59F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>Съхранявайте на сухо и тъмно място.</w:t>
      </w:r>
    </w:p>
    <w:p w14:paraId="2BFC31F0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>Не превишавайте препоръчителния дневен прием.</w:t>
      </w:r>
    </w:p>
    <w:p w14:paraId="0514A17A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>Не използвайте като заместител на разнообразното и балансирано хранене.</w:t>
      </w:r>
    </w:p>
    <w:p w14:paraId="03837E45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>Не използвайте продукта след срока на годност, отбелязан върху опаковката.</w:t>
      </w:r>
    </w:p>
    <w:p w14:paraId="668FD257" w14:textId="77777777" w:rsidR="002457B9" w:rsidRPr="00FF2A27" w:rsidRDefault="002457B9" w:rsidP="002457B9">
      <w:pPr>
        <w:rPr>
          <w:rFonts w:ascii="Times New Roman" w:eastAsia="Times New Roman" w:hAnsi="Times New Roman" w:cs="Times New Roman"/>
          <w:color w:val="294F95"/>
        </w:rPr>
      </w:pPr>
      <w:r w:rsidRPr="00FF2A27">
        <w:rPr>
          <w:rFonts w:ascii="Times New Roman" w:eastAsia="Times New Roman" w:hAnsi="Times New Roman" w:cs="Times New Roman"/>
          <w:color w:val="294F95"/>
        </w:rPr>
        <w:t>Пазете на място, недостъпно за деца.</w:t>
      </w:r>
    </w:p>
    <w:p w14:paraId="4D67FBA5" w14:textId="36853311" w:rsidR="002457B9" w:rsidRPr="002457B9" w:rsidRDefault="002457B9" w:rsidP="002457B9">
      <w:r w:rsidRPr="00FF2A27">
        <w:rPr>
          <w:rFonts w:ascii="Times New Roman" w:eastAsia="Times New Roman" w:hAnsi="Times New Roman" w:cs="Times New Roman"/>
          <w:color w:val="294F95"/>
        </w:rPr>
        <w:t>За повече информация посетете: www.gutera.bg.</w:t>
      </w:r>
    </w:p>
    <w:sectPr w:rsidR="002457B9" w:rsidRPr="00245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B9"/>
    <w:rsid w:val="002457B9"/>
    <w:rsid w:val="008C5924"/>
    <w:rsid w:val="00CF08E7"/>
    <w:rsid w:val="00E4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1D4BEB"/>
  <w15:chartTrackingRefBased/>
  <w15:docId w15:val="{8687C774-135B-DC4A-ABB0-8421B853F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7B9"/>
    <w:pPr>
      <w:spacing w:line="259" w:lineRule="auto"/>
    </w:pPr>
    <w:rPr>
      <w:kern w:val="0"/>
      <w:sz w:val="22"/>
      <w:szCs w:val="22"/>
      <w:lang w:val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B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B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B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B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B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B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B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B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B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B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5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B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B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5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B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B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5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B9"/>
    <w:pPr>
      <w:spacing w:line="278" w:lineRule="auto"/>
      <w:ind w:left="720"/>
      <w:contextualSpacing/>
    </w:pPr>
    <w:rPr>
      <w:kern w:val="2"/>
      <w:sz w:val="24"/>
      <w:szCs w:val="24"/>
      <w:lang w:val="en-B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5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B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 Uzunov</dc:creator>
  <cp:keywords/>
  <dc:description/>
  <cp:lastModifiedBy>Atanas Uzunov</cp:lastModifiedBy>
  <cp:revision>3</cp:revision>
  <dcterms:created xsi:type="dcterms:W3CDTF">2025-11-29T22:16:00Z</dcterms:created>
  <dcterms:modified xsi:type="dcterms:W3CDTF">2025-11-29T22:22:00Z</dcterms:modified>
</cp:coreProperties>
</file>