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A8E2" w14:textId="77777777" w:rsidR="00DD285D" w:rsidRPr="00DD285D" w:rsidRDefault="00DD285D" w:rsidP="00DD285D">
      <w:pPr>
        <w:rPr>
          <w:b/>
          <w:bCs/>
        </w:rPr>
      </w:pPr>
      <w:r w:rsidRPr="00DD285D">
        <w:rPr>
          <w:rFonts w:ascii="Segoe UI Emoji" w:hAnsi="Segoe UI Emoji" w:cs="Segoe UI Emoji"/>
          <w:b/>
          <w:bCs/>
        </w:rPr>
        <w:t>💹</w:t>
      </w:r>
      <w:r w:rsidRPr="00DD285D">
        <w:rPr>
          <w:b/>
          <w:bCs/>
        </w:rPr>
        <w:t xml:space="preserve"> The Profitability KPI Glossary</w:t>
      </w:r>
    </w:p>
    <w:p w14:paraId="2E45BBF9" w14:textId="77777777" w:rsidR="00DD285D" w:rsidRPr="00DD285D" w:rsidRDefault="00DD285D" w:rsidP="00DD285D">
      <w:pPr>
        <w:rPr>
          <w:b/>
          <w:bCs/>
        </w:rPr>
      </w:pPr>
      <w:r w:rsidRPr="00DD285D">
        <w:rPr>
          <w:b/>
          <w:bCs/>
        </w:rPr>
        <w:t>The 25 Metrics Every D2C Founder Must Know to Scale Safely</w:t>
      </w:r>
    </w:p>
    <w:p w14:paraId="4448F914" w14:textId="77777777" w:rsidR="00DD285D" w:rsidRPr="00DD285D" w:rsidRDefault="00DD285D" w:rsidP="00DD285D">
      <w:r w:rsidRPr="00DD285D">
        <w:pict w14:anchorId="4133500B">
          <v:rect id="_x0000_i1079" style="width:0;height:1.5pt" o:hralign="center" o:hrstd="t" o:hr="t" fillcolor="#a0a0a0" stroked="f"/>
        </w:pict>
      </w:r>
    </w:p>
    <w:p w14:paraId="3E8841E4" w14:textId="77777777" w:rsidR="00DD285D" w:rsidRPr="00DD285D" w:rsidRDefault="00DD285D" w:rsidP="00DD285D">
      <w:pPr>
        <w:rPr>
          <w:b/>
          <w:bCs/>
        </w:rPr>
      </w:pPr>
      <w:r w:rsidRPr="00DD285D">
        <w:rPr>
          <w:rFonts w:ascii="Segoe UI Emoji" w:hAnsi="Segoe UI Emoji" w:cs="Segoe UI Emoji"/>
          <w:b/>
          <w:bCs/>
        </w:rPr>
        <w:t>🚀</w:t>
      </w:r>
      <w:r w:rsidRPr="00DD285D">
        <w:rPr>
          <w:b/>
          <w:bCs/>
        </w:rPr>
        <w:t xml:space="preserve"> Overview</w:t>
      </w:r>
    </w:p>
    <w:p w14:paraId="0C54A890" w14:textId="77777777" w:rsidR="00DD285D" w:rsidRPr="00DD285D" w:rsidRDefault="00DD285D" w:rsidP="00DD285D">
      <w:r w:rsidRPr="00DD285D">
        <w:t xml:space="preserve">Most brands scale based on </w:t>
      </w:r>
      <w:r w:rsidRPr="00DD285D">
        <w:rPr>
          <w:i/>
          <w:iCs/>
        </w:rPr>
        <w:t>feeling</w:t>
      </w:r>
      <w:r w:rsidRPr="00DD285D">
        <w:t xml:space="preserve">, not </w:t>
      </w:r>
      <w:r w:rsidRPr="00DD285D">
        <w:rPr>
          <w:i/>
          <w:iCs/>
        </w:rPr>
        <w:t>financial truth</w:t>
      </w:r>
      <w:r w:rsidRPr="00DD285D">
        <w:t>.</w:t>
      </w:r>
      <w:r w:rsidRPr="00DD285D">
        <w:br/>
        <w:t>They track ROAS, but forget about contribution margin.</w:t>
      </w:r>
      <w:r w:rsidRPr="00DD285D">
        <w:br/>
        <w:t>They know ad spend, but not EBITA.</w:t>
      </w:r>
    </w:p>
    <w:p w14:paraId="26D362E6" w14:textId="77777777" w:rsidR="00DD285D" w:rsidRPr="00DD285D" w:rsidRDefault="00DD285D" w:rsidP="00DD285D">
      <w:r w:rsidRPr="00DD285D">
        <w:t>This glossary was built to fix that.</w:t>
      </w:r>
    </w:p>
    <w:p w14:paraId="1685C914" w14:textId="77777777" w:rsidR="00DD285D" w:rsidRPr="00DD285D" w:rsidRDefault="00DD285D" w:rsidP="00DD285D">
      <w:r w:rsidRPr="00DD285D">
        <w:t>It contains the 25 most important metrics that every brand must understand to protect profitability, track real growth, and scale without risk.</w:t>
      </w:r>
    </w:p>
    <w:p w14:paraId="257FCE99" w14:textId="77777777" w:rsidR="00DD285D" w:rsidRPr="00DD285D" w:rsidRDefault="00DD285D" w:rsidP="00DD285D">
      <w:r w:rsidRPr="00DD285D">
        <w:t>Each KPI includes a clear definition, formula, benchmark, and practical use case — all written in plain language so your team finally speaks the same “profit language.”</w:t>
      </w:r>
    </w:p>
    <w:p w14:paraId="33257E41" w14:textId="77777777" w:rsidR="00DD285D" w:rsidRPr="00DD285D" w:rsidRDefault="00DD285D" w:rsidP="00DD285D">
      <w:r w:rsidRPr="00DD285D">
        <w:pict w14:anchorId="68929E5E">
          <v:rect id="_x0000_i1080" style="width:0;height:1.5pt" o:hralign="center" o:hrstd="t" o:hr="t" fillcolor="#a0a0a0" stroked="f"/>
        </w:pict>
      </w:r>
    </w:p>
    <w:p w14:paraId="40693FB5" w14:textId="77777777" w:rsidR="00DD285D" w:rsidRPr="00DD285D" w:rsidRDefault="00DD285D" w:rsidP="00DD285D">
      <w:pPr>
        <w:rPr>
          <w:b/>
          <w:bCs/>
        </w:rPr>
      </w:pPr>
      <w:r w:rsidRPr="00DD285D">
        <w:rPr>
          <w:rFonts w:ascii="Segoe UI Emoji" w:hAnsi="Segoe UI Emoji" w:cs="Segoe UI Emoji"/>
          <w:b/>
          <w:bCs/>
        </w:rPr>
        <w:t>🎯</w:t>
      </w:r>
      <w:r w:rsidRPr="00DD285D">
        <w:rPr>
          <w:b/>
          <w:bCs/>
        </w:rPr>
        <w:t xml:space="preserve"> Why This Works</w:t>
      </w:r>
    </w:p>
    <w:p w14:paraId="20BDD028" w14:textId="77777777" w:rsidR="00DD285D" w:rsidRPr="00DD285D" w:rsidRDefault="00DD285D" w:rsidP="00DD285D">
      <w:r w:rsidRPr="00DD285D">
        <w:rPr>
          <w:rFonts w:ascii="Segoe UI Emoji" w:hAnsi="Segoe UI Emoji" w:cs="Segoe UI Emoji"/>
        </w:rPr>
        <w:t>✅</w:t>
      </w:r>
      <w:r w:rsidRPr="00DD285D">
        <w:t xml:space="preserve"> Aligns marketing and finance around one shared metric system.</w:t>
      </w:r>
      <w:r w:rsidRPr="00DD285D">
        <w:br/>
      </w:r>
      <w:r w:rsidRPr="00DD285D">
        <w:rPr>
          <w:rFonts w:ascii="Segoe UI Emoji" w:hAnsi="Segoe UI Emoji" w:cs="Segoe UI Emoji"/>
        </w:rPr>
        <w:t>✅</w:t>
      </w:r>
      <w:r w:rsidRPr="00DD285D">
        <w:t xml:space="preserve"> Prevents scaling into unprofitable territory.</w:t>
      </w:r>
      <w:r w:rsidRPr="00DD285D">
        <w:br/>
      </w:r>
      <w:r w:rsidRPr="00DD285D">
        <w:rPr>
          <w:rFonts w:ascii="Segoe UI Emoji" w:hAnsi="Segoe UI Emoji" w:cs="Segoe UI Emoji"/>
        </w:rPr>
        <w:t>✅</w:t>
      </w:r>
      <w:r w:rsidRPr="00DD285D">
        <w:t xml:space="preserve"> Builds full visibility across acquisition, retention, and operations.</w:t>
      </w:r>
      <w:r w:rsidRPr="00DD285D">
        <w:br/>
      </w:r>
      <w:r w:rsidRPr="00DD285D">
        <w:rPr>
          <w:rFonts w:ascii="Segoe UI Emoji" w:hAnsi="Segoe UI Emoji" w:cs="Segoe UI Emoji"/>
        </w:rPr>
        <w:t>✅</w:t>
      </w:r>
      <w:r w:rsidRPr="00DD285D">
        <w:t xml:space="preserve"> Turns decisions from emotional to mathematical.</w:t>
      </w:r>
    </w:p>
    <w:p w14:paraId="2CE75A5C" w14:textId="77777777" w:rsidR="00DD285D" w:rsidRPr="00DD285D" w:rsidRDefault="00DD285D" w:rsidP="00DD285D">
      <w:r w:rsidRPr="00DD285D">
        <w:pict w14:anchorId="5BD27D53">
          <v:rect id="_x0000_i1081" style="width:0;height:1.5pt" o:hralign="center" o:hrstd="t" o:hr="t" fillcolor="#a0a0a0" stroked="f"/>
        </w:pict>
      </w:r>
    </w:p>
    <w:p w14:paraId="42824E5E" w14:textId="77777777" w:rsidR="00DD285D" w:rsidRPr="00DD285D" w:rsidRDefault="00DD285D" w:rsidP="00DD285D">
      <w:pPr>
        <w:rPr>
          <w:b/>
          <w:bCs/>
        </w:rPr>
      </w:pPr>
      <w:r w:rsidRPr="00DD285D">
        <w:rPr>
          <w:rFonts w:ascii="Segoe UI Emoji" w:hAnsi="Segoe UI Emoji" w:cs="Segoe UI Emoji"/>
          <w:b/>
          <w:bCs/>
        </w:rPr>
        <w:t>🧩</w:t>
      </w:r>
      <w:r w:rsidRPr="00DD285D">
        <w:rPr>
          <w:b/>
          <w:bCs/>
        </w:rPr>
        <w:t xml:space="preserve"> The Framework</w:t>
      </w:r>
    </w:p>
    <w:p w14:paraId="1C0548EA" w14:textId="77777777" w:rsidR="00DD285D" w:rsidRPr="00DD285D" w:rsidRDefault="00DD285D" w:rsidP="00DD285D">
      <w:pPr>
        <w:rPr>
          <w:b/>
          <w:bCs/>
        </w:rPr>
      </w:pPr>
      <w:r w:rsidRPr="00DD285D">
        <w:rPr>
          <w:b/>
          <w:bCs/>
        </w:rPr>
        <w:t>1️</w:t>
      </w:r>
      <w:r w:rsidRPr="00DD285D">
        <w:rPr>
          <w:rFonts w:ascii="Segoe UI Symbol" w:hAnsi="Segoe UI Symbol" w:cs="Segoe UI Symbol"/>
          <w:b/>
          <w:bCs/>
        </w:rPr>
        <w:t>⃣</w:t>
      </w:r>
      <w:r w:rsidRPr="00DD285D">
        <w:rPr>
          <w:b/>
          <w:bCs/>
        </w:rPr>
        <w:t xml:space="preserve"> Acquisition KPIs</w:t>
      </w:r>
    </w:p>
    <w:p w14:paraId="11CAE78B" w14:textId="77777777" w:rsidR="00DD285D" w:rsidRPr="00DD285D" w:rsidRDefault="00DD285D" w:rsidP="00DD285D">
      <w:r w:rsidRPr="00DD285D">
        <w:rPr>
          <w:b/>
          <w:bCs/>
        </w:rPr>
        <w:t>Cost per Click (CPC):</w:t>
      </w:r>
      <w:r w:rsidRPr="00DD285D">
        <w:t xml:space="preserve"> Average amount paid for each click.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Total Spend ÷ Total Clicks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Evaluates traffic cost efficiency per channel.</w:t>
      </w:r>
    </w:p>
    <w:p w14:paraId="30216B41" w14:textId="77777777" w:rsidR="00DD285D" w:rsidRPr="00DD285D" w:rsidRDefault="00DD285D" w:rsidP="00DD285D">
      <w:r w:rsidRPr="00DD285D">
        <w:rPr>
          <w:b/>
          <w:bCs/>
        </w:rPr>
        <w:t>Click-Through Rate (CTR):</w:t>
      </w:r>
      <w:r w:rsidRPr="00DD285D">
        <w:t xml:space="preserve"> Percentage of users who clicked on your ad.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Clicks ÷ Impressions × 100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Measures ad creative quality and message-market fit.</w:t>
      </w:r>
    </w:p>
    <w:p w14:paraId="0D1C7974" w14:textId="77777777" w:rsidR="00DD285D" w:rsidRPr="00DD285D" w:rsidRDefault="00DD285D" w:rsidP="00DD285D">
      <w:r w:rsidRPr="00DD285D">
        <w:rPr>
          <w:b/>
          <w:bCs/>
        </w:rPr>
        <w:t>Cost per Acquisition (CPA):</w:t>
      </w:r>
      <w:r w:rsidRPr="00DD285D">
        <w:t xml:space="preserve"> Cost of acquiring one customer.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Total Spend ÷ Conversions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Key input for CAC and profit forecasting.</w:t>
      </w:r>
    </w:p>
    <w:p w14:paraId="186C0CA4" w14:textId="77777777" w:rsidR="00DD285D" w:rsidRPr="00DD285D" w:rsidRDefault="00DD285D" w:rsidP="00DD285D">
      <w:r w:rsidRPr="00DD285D">
        <w:rPr>
          <w:b/>
          <w:bCs/>
        </w:rPr>
        <w:t>Marketing Efficiency Ratio (MER):</w:t>
      </w:r>
      <w:r w:rsidRPr="00DD285D">
        <w:t xml:space="preserve"> The ultimate scaling KPI.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Total Revenue ÷ Total Ad Spend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Reveals profitability across all channels combined.</w:t>
      </w:r>
    </w:p>
    <w:p w14:paraId="042DBD95" w14:textId="77777777" w:rsidR="00DD285D" w:rsidRPr="00DD285D" w:rsidRDefault="00DD285D" w:rsidP="00DD285D">
      <w:r w:rsidRPr="00DD285D">
        <w:rPr>
          <w:b/>
          <w:bCs/>
        </w:rPr>
        <w:lastRenderedPageBreak/>
        <w:t>Return on Ad Spend (ROAS):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Revenue ÷ Ad Spend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Channel-level efficiency — useful but incomplete without margins.</w:t>
      </w:r>
    </w:p>
    <w:p w14:paraId="69CEB3F9" w14:textId="77777777" w:rsidR="00DD285D" w:rsidRPr="00DD285D" w:rsidRDefault="00DD285D" w:rsidP="00DD285D">
      <w:r w:rsidRPr="00DD285D">
        <w:pict w14:anchorId="351EB8B0">
          <v:rect id="_x0000_i1082" style="width:0;height:1.5pt" o:hralign="center" o:hrstd="t" o:hr="t" fillcolor="#a0a0a0" stroked="f"/>
        </w:pict>
      </w:r>
    </w:p>
    <w:p w14:paraId="39DB5629" w14:textId="77777777" w:rsidR="00DD285D" w:rsidRPr="00DD285D" w:rsidRDefault="00DD285D" w:rsidP="00DD285D">
      <w:pPr>
        <w:rPr>
          <w:b/>
          <w:bCs/>
        </w:rPr>
      </w:pPr>
      <w:r w:rsidRPr="00DD285D">
        <w:rPr>
          <w:b/>
          <w:bCs/>
        </w:rPr>
        <w:t>2️</w:t>
      </w:r>
      <w:r w:rsidRPr="00DD285D">
        <w:rPr>
          <w:rFonts w:ascii="Segoe UI Symbol" w:hAnsi="Segoe UI Symbol" w:cs="Segoe UI Symbol"/>
          <w:b/>
          <w:bCs/>
        </w:rPr>
        <w:t>⃣</w:t>
      </w:r>
      <w:r w:rsidRPr="00DD285D">
        <w:rPr>
          <w:b/>
          <w:bCs/>
        </w:rPr>
        <w:t xml:space="preserve"> Profitability KPIs</w:t>
      </w:r>
    </w:p>
    <w:p w14:paraId="2E8542A7" w14:textId="77777777" w:rsidR="00DD285D" w:rsidRPr="00DD285D" w:rsidRDefault="00DD285D" w:rsidP="00DD285D">
      <w:r w:rsidRPr="00DD285D">
        <w:rPr>
          <w:b/>
          <w:bCs/>
        </w:rPr>
        <w:t>Gross Profit Margin (CM1):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(Revenue – COGS) ÷ Revenue × 100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Measures product-level profit before marketing costs.</w:t>
      </w:r>
    </w:p>
    <w:p w14:paraId="495ADFC0" w14:textId="77777777" w:rsidR="00DD285D" w:rsidRPr="00DD285D" w:rsidRDefault="00DD285D" w:rsidP="00DD285D">
      <w:r w:rsidRPr="00DD285D">
        <w:rPr>
          <w:b/>
          <w:bCs/>
        </w:rPr>
        <w:t>Contribution Margin 2 (CM2):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(Revenue – COGS – Marketing Costs) ÷ Revenue × 100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True indicator of profitability after ad spend.</w:t>
      </w:r>
    </w:p>
    <w:p w14:paraId="3E46B5D9" w14:textId="77777777" w:rsidR="00DD285D" w:rsidRPr="00DD285D" w:rsidRDefault="00DD285D" w:rsidP="00DD285D">
      <w:r w:rsidRPr="00DD285D">
        <w:rPr>
          <w:b/>
          <w:bCs/>
        </w:rPr>
        <w:t>EBITA: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Earnings before interest, taxes, and amortization.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The final measure of operational profitability.</w:t>
      </w:r>
    </w:p>
    <w:p w14:paraId="39BB0B4B" w14:textId="77777777" w:rsidR="00DD285D" w:rsidRPr="00DD285D" w:rsidRDefault="00DD285D" w:rsidP="00DD285D">
      <w:r w:rsidRPr="00DD285D">
        <w:rPr>
          <w:b/>
          <w:bCs/>
        </w:rPr>
        <w:t>Break-Even ROAS: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1 ÷ Gross Margin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Minimum ROAS needed to avoid loss.</w:t>
      </w:r>
    </w:p>
    <w:p w14:paraId="57ACFE55" w14:textId="77777777" w:rsidR="00DD285D" w:rsidRPr="00DD285D" w:rsidRDefault="00DD285D" w:rsidP="00DD285D">
      <w:r w:rsidRPr="00DD285D">
        <w:rPr>
          <w:b/>
          <w:bCs/>
        </w:rPr>
        <w:t>Net Profit Margin: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Net Profit ÷ Revenue × 100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Percentage of total revenue that remains as profit.</w:t>
      </w:r>
    </w:p>
    <w:p w14:paraId="22A5E4AA" w14:textId="77777777" w:rsidR="00DD285D" w:rsidRPr="00DD285D" w:rsidRDefault="00DD285D" w:rsidP="00DD285D">
      <w:r w:rsidRPr="00DD285D">
        <w:pict w14:anchorId="76A0021D">
          <v:rect id="_x0000_i1083" style="width:0;height:1.5pt" o:hralign="center" o:hrstd="t" o:hr="t" fillcolor="#a0a0a0" stroked="f"/>
        </w:pict>
      </w:r>
    </w:p>
    <w:p w14:paraId="514202CE" w14:textId="77777777" w:rsidR="00DD285D" w:rsidRPr="00DD285D" w:rsidRDefault="00DD285D" w:rsidP="00DD285D">
      <w:pPr>
        <w:rPr>
          <w:b/>
          <w:bCs/>
        </w:rPr>
      </w:pPr>
      <w:r w:rsidRPr="00DD285D">
        <w:rPr>
          <w:b/>
          <w:bCs/>
        </w:rPr>
        <w:t>3️</w:t>
      </w:r>
      <w:r w:rsidRPr="00DD285D">
        <w:rPr>
          <w:rFonts w:ascii="Segoe UI Symbol" w:hAnsi="Segoe UI Symbol" w:cs="Segoe UI Symbol"/>
          <w:b/>
          <w:bCs/>
        </w:rPr>
        <w:t>⃣</w:t>
      </w:r>
      <w:r w:rsidRPr="00DD285D">
        <w:rPr>
          <w:b/>
          <w:bCs/>
        </w:rPr>
        <w:t xml:space="preserve"> Retention KPIs</w:t>
      </w:r>
    </w:p>
    <w:p w14:paraId="6C7289C0" w14:textId="77777777" w:rsidR="00DD285D" w:rsidRPr="00DD285D" w:rsidRDefault="00DD285D" w:rsidP="00DD285D">
      <w:r w:rsidRPr="00DD285D">
        <w:rPr>
          <w:b/>
          <w:bCs/>
        </w:rPr>
        <w:t>Repeat Purchase Rate (RPR):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Returning Customers ÷ Total Customers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Indicates loyalty and LTV health.</w:t>
      </w:r>
    </w:p>
    <w:p w14:paraId="011B80B1" w14:textId="77777777" w:rsidR="00DD285D" w:rsidRPr="00DD285D" w:rsidRDefault="00DD285D" w:rsidP="00DD285D">
      <w:r w:rsidRPr="00DD285D">
        <w:rPr>
          <w:b/>
          <w:bCs/>
        </w:rPr>
        <w:t>Customer Lifetime Value (LTV):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Average Order Value × Purchase Frequency × Retention Rate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Measures long-term customer value beyond first purchase.</w:t>
      </w:r>
    </w:p>
    <w:p w14:paraId="1724B62F" w14:textId="77777777" w:rsidR="00DD285D" w:rsidRPr="00DD285D" w:rsidRDefault="00DD285D" w:rsidP="00DD285D">
      <w:r w:rsidRPr="00DD285D">
        <w:rPr>
          <w:b/>
          <w:bCs/>
        </w:rPr>
        <w:t>Customer Acquisition Cost (CAC):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Marketing Spend ÷ New Customers Acquired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When compared to LTV, reveals scalability.</w:t>
      </w:r>
    </w:p>
    <w:p w14:paraId="766DDF2C" w14:textId="77777777" w:rsidR="00DD285D" w:rsidRPr="00DD285D" w:rsidRDefault="00DD285D" w:rsidP="00DD285D">
      <w:r w:rsidRPr="00DD285D">
        <w:rPr>
          <w:b/>
          <w:bCs/>
        </w:rPr>
        <w:t>LTV:CAC Ratio: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LTV ÷ CAC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The core profitability metric. Aim for 3:1 or higher.</w:t>
      </w:r>
    </w:p>
    <w:p w14:paraId="701785DE" w14:textId="77777777" w:rsidR="00DD285D" w:rsidRPr="00DD285D" w:rsidRDefault="00DD285D" w:rsidP="00DD285D">
      <w:r w:rsidRPr="00DD285D">
        <w:rPr>
          <w:b/>
          <w:bCs/>
        </w:rPr>
        <w:lastRenderedPageBreak/>
        <w:t>Churn Rate: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Lost Customers ÷ Total Customers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Tracks how fast your customer base erodes.</w:t>
      </w:r>
    </w:p>
    <w:p w14:paraId="51778704" w14:textId="77777777" w:rsidR="00DD285D" w:rsidRPr="00DD285D" w:rsidRDefault="00DD285D" w:rsidP="00DD285D">
      <w:r w:rsidRPr="00DD285D">
        <w:pict w14:anchorId="737E0BFE">
          <v:rect id="_x0000_i1084" style="width:0;height:1.5pt" o:hralign="center" o:hrstd="t" o:hr="t" fillcolor="#a0a0a0" stroked="f"/>
        </w:pict>
      </w:r>
    </w:p>
    <w:p w14:paraId="7183778C" w14:textId="77777777" w:rsidR="00DD285D" w:rsidRPr="00DD285D" w:rsidRDefault="00DD285D" w:rsidP="00DD285D">
      <w:pPr>
        <w:rPr>
          <w:b/>
          <w:bCs/>
        </w:rPr>
      </w:pPr>
      <w:r w:rsidRPr="00DD285D">
        <w:rPr>
          <w:b/>
          <w:bCs/>
        </w:rPr>
        <w:t>4️</w:t>
      </w:r>
      <w:r w:rsidRPr="00DD285D">
        <w:rPr>
          <w:rFonts w:ascii="Segoe UI Symbol" w:hAnsi="Segoe UI Symbol" w:cs="Segoe UI Symbol"/>
          <w:b/>
          <w:bCs/>
        </w:rPr>
        <w:t>⃣</w:t>
      </w:r>
      <w:r w:rsidRPr="00DD285D">
        <w:rPr>
          <w:b/>
          <w:bCs/>
        </w:rPr>
        <w:t xml:space="preserve"> Operational KPIs</w:t>
      </w:r>
    </w:p>
    <w:p w14:paraId="5B8E208E" w14:textId="77777777" w:rsidR="00DD285D" w:rsidRPr="00DD285D" w:rsidRDefault="00DD285D" w:rsidP="00DD285D">
      <w:r w:rsidRPr="00DD285D">
        <w:rPr>
          <w:b/>
          <w:bCs/>
        </w:rPr>
        <w:t>Average Order Value (AOV):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Total Revenue ÷ Number of Orders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Key driver for increasing profit per transaction.</w:t>
      </w:r>
    </w:p>
    <w:p w14:paraId="7683DA99" w14:textId="77777777" w:rsidR="00DD285D" w:rsidRPr="00DD285D" w:rsidRDefault="00DD285D" w:rsidP="00DD285D">
      <w:r w:rsidRPr="00DD285D">
        <w:rPr>
          <w:b/>
          <w:bCs/>
        </w:rPr>
        <w:t>Refund Rate: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Refunded Orders ÷ Total Orders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Impacts both cash flow and margin accuracy.</w:t>
      </w:r>
    </w:p>
    <w:p w14:paraId="3B6618D1" w14:textId="77777777" w:rsidR="00DD285D" w:rsidRPr="00DD285D" w:rsidRDefault="00DD285D" w:rsidP="00DD285D">
      <w:r w:rsidRPr="00DD285D">
        <w:rPr>
          <w:b/>
          <w:bCs/>
        </w:rPr>
        <w:t>Fulfillment Cost per Order: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Total Fulfillment Cost ÷ Orders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Determines operational scalability.</w:t>
      </w:r>
    </w:p>
    <w:p w14:paraId="56D2DFDE" w14:textId="77777777" w:rsidR="00DD285D" w:rsidRPr="00DD285D" w:rsidRDefault="00DD285D" w:rsidP="00DD285D">
      <w:r w:rsidRPr="00DD285D">
        <w:rPr>
          <w:b/>
          <w:bCs/>
        </w:rPr>
        <w:t>Inventory Turnover: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COGS ÷ Average Inventory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Measures how efficiently stock is sold and replaced.</w:t>
      </w:r>
    </w:p>
    <w:p w14:paraId="72E32E99" w14:textId="77777777" w:rsidR="00DD285D" w:rsidRPr="00DD285D" w:rsidRDefault="00DD285D" w:rsidP="00DD285D">
      <w:r w:rsidRPr="00DD285D">
        <w:rPr>
          <w:b/>
          <w:bCs/>
        </w:rPr>
        <w:t>Cash Conversion Cycle (CCC):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Days Inventory + Days Receivable – Days Payable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Tracks how quickly capital returns to the business.</w:t>
      </w:r>
    </w:p>
    <w:p w14:paraId="107F9374" w14:textId="77777777" w:rsidR="00DD285D" w:rsidRPr="00DD285D" w:rsidRDefault="00DD285D" w:rsidP="00DD285D">
      <w:r w:rsidRPr="00DD285D">
        <w:pict w14:anchorId="459EFA0C">
          <v:rect id="_x0000_i1085" style="width:0;height:1.5pt" o:hralign="center" o:hrstd="t" o:hr="t" fillcolor="#a0a0a0" stroked="f"/>
        </w:pict>
      </w:r>
    </w:p>
    <w:p w14:paraId="094883F7" w14:textId="77777777" w:rsidR="00DD285D" w:rsidRPr="00DD285D" w:rsidRDefault="00DD285D" w:rsidP="00DD285D">
      <w:pPr>
        <w:rPr>
          <w:b/>
          <w:bCs/>
        </w:rPr>
      </w:pPr>
      <w:r w:rsidRPr="00DD285D">
        <w:rPr>
          <w:b/>
          <w:bCs/>
        </w:rPr>
        <w:t>5️</w:t>
      </w:r>
      <w:r w:rsidRPr="00DD285D">
        <w:rPr>
          <w:rFonts w:ascii="Segoe UI Symbol" w:hAnsi="Segoe UI Symbol" w:cs="Segoe UI Symbol"/>
          <w:b/>
          <w:bCs/>
        </w:rPr>
        <w:t>⃣</w:t>
      </w:r>
      <w:r w:rsidRPr="00DD285D">
        <w:rPr>
          <w:b/>
          <w:bCs/>
        </w:rPr>
        <w:t xml:space="preserve"> Scaling KPIs</w:t>
      </w:r>
    </w:p>
    <w:p w14:paraId="3DFB3E66" w14:textId="77777777" w:rsidR="00DD285D" w:rsidRPr="00DD285D" w:rsidRDefault="00DD285D" w:rsidP="00DD285D">
      <w:r w:rsidRPr="00DD285D">
        <w:rPr>
          <w:b/>
          <w:bCs/>
        </w:rPr>
        <w:t>Blended MER Trend: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Revenue ÷ Total Ad Spend (over time)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Monitors efficiency across platforms during growth.</w:t>
      </w:r>
    </w:p>
    <w:p w14:paraId="6A959436" w14:textId="77777777" w:rsidR="00DD285D" w:rsidRPr="00DD285D" w:rsidRDefault="00DD285D" w:rsidP="00DD285D">
      <w:r w:rsidRPr="00DD285D">
        <w:rPr>
          <w:b/>
          <w:bCs/>
        </w:rPr>
        <w:t>Incremental ROAS (iROAS):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Revenue Increase ÷ Spend Increase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Determines the real impact of scaling.</w:t>
      </w:r>
    </w:p>
    <w:p w14:paraId="0763CE90" w14:textId="77777777" w:rsidR="00DD285D" w:rsidRPr="00DD285D" w:rsidRDefault="00DD285D" w:rsidP="00DD285D">
      <w:r w:rsidRPr="00DD285D">
        <w:rPr>
          <w:b/>
          <w:bCs/>
        </w:rPr>
        <w:t>Marketing Reinvestment Ratio: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Ad Spend ÷ Profit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Measures how aggressively you reinvest into growth.</w:t>
      </w:r>
    </w:p>
    <w:p w14:paraId="1AF80FDB" w14:textId="77777777" w:rsidR="00DD285D" w:rsidRPr="00DD285D" w:rsidRDefault="00DD285D" w:rsidP="00DD285D">
      <w:r w:rsidRPr="00DD285D">
        <w:rPr>
          <w:b/>
          <w:bCs/>
        </w:rPr>
        <w:t>Return on Capital Employed (ROCE):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EBITA ÷ (Total Assets – Current Liabilities)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Evaluates how efficiently capital drives profit.</w:t>
      </w:r>
    </w:p>
    <w:p w14:paraId="3984F81C" w14:textId="77777777" w:rsidR="00DD285D" w:rsidRPr="00DD285D" w:rsidRDefault="00DD285D" w:rsidP="00DD285D">
      <w:r w:rsidRPr="00DD285D">
        <w:rPr>
          <w:b/>
          <w:bCs/>
        </w:rPr>
        <w:lastRenderedPageBreak/>
        <w:t>Scaling Safety Index:</w:t>
      </w:r>
      <w:r w:rsidRPr="00DD285D">
        <w:br/>
      </w:r>
      <w:r w:rsidRPr="00DD285D">
        <w:rPr>
          <w:b/>
          <w:bCs/>
        </w:rPr>
        <w:t>Formula:</w:t>
      </w:r>
      <w:r w:rsidRPr="00DD285D">
        <w:t xml:space="preserve"> EBITA Stability + Cash Flow Coverage + CM2 Consistency</w:t>
      </w:r>
      <w:r w:rsidRPr="00DD285D">
        <w:br/>
      </w:r>
      <w:r w:rsidRPr="00DD285D">
        <w:rPr>
          <w:b/>
          <w:bCs/>
        </w:rPr>
        <w:t>Use:</w:t>
      </w:r>
      <w:r w:rsidRPr="00DD285D">
        <w:t xml:space="preserve"> Internal benchmark to ensure you scale with margin protection.</w:t>
      </w:r>
    </w:p>
    <w:p w14:paraId="3D2F22D0" w14:textId="77777777" w:rsidR="00DD285D" w:rsidRPr="00DD285D" w:rsidRDefault="00DD285D" w:rsidP="00DD285D">
      <w:r w:rsidRPr="00DD285D">
        <w:pict w14:anchorId="7EEB720D">
          <v:rect id="_x0000_i1086" style="width:0;height:1.5pt" o:hralign="center" o:hrstd="t" o:hr="t" fillcolor="#a0a0a0" stroked="f"/>
        </w:pict>
      </w:r>
    </w:p>
    <w:p w14:paraId="54575AD4" w14:textId="77777777" w:rsidR="00DD285D" w:rsidRPr="00DD285D" w:rsidRDefault="00DD285D" w:rsidP="00DD285D">
      <w:pPr>
        <w:rPr>
          <w:b/>
          <w:bCs/>
        </w:rPr>
      </w:pPr>
      <w:r w:rsidRPr="00DD285D">
        <w:rPr>
          <w:rFonts w:ascii="Segoe UI Emoji" w:hAnsi="Segoe UI Emoji" w:cs="Segoe UI Emoji"/>
          <w:b/>
          <w:bCs/>
        </w:rPr>
        <w:t>📈</w:t>
      </w:r>
      <w:r w:rsidRPr="00DD285D">
        <w:rPr>
          <w:b/>
          <w:bCs/>
        </w:rPr>
        <w:t xml:space="preserve"> Results You Can Expect</w:t>
      </w:r>
    </w:p>
    <w:p w14:paraId="36446BFB" w14:textId="77777777" w:rsidR="00DD285D" w:rsidRPr="00DD285D" w:rsidRDefault="00DD285D" w:rsidP="00DD285D">
      <w:r w:rsidRPr="00DD285D">
        <w:rPr>
          <w:rFonts w:ascii="Segoe UI Emoji" w:hAnsi="Segoe UI Emoji" w:cs="Segoe UI Emoji"/>
        </w:rPr>
        <w:t>✅</w:t>
      </w:r>
      <w:r w:rsidRPr="00DD285D">
        <w:t xml:space="preserve"> Every department aligned on profitability metrics.</w:t>
      </w:r>
      <w:r w:rsidRPr="00DD285D">
        <w:br/>
      </w:r>
      <w:r w:rsidRPr="00DD285D">
        <w:rPr>
          <w:rFonts w:ascii="Segoe UI Emoji" w:hAnsi="Segoe UI Emoji" w:cs="Segoe UI Emoji"/>
        </w:rPr>
        <w:t>✅</w:t>
      </w:r>
      <w:r w:rsidRPr="00DD285D">
        <w:t xml:space="preserve"> Clear visibility into which channels, products, and actions drive true ROI.</w:t>
      </w:r>
      <w:r w:rsidRPr="00DD285D">
        <w:br/>
      </w:r>
      <w:r w:rsidRPr="00DD285D">
        <w:rPr>
          <w:rFonts w:ascii="Segoe UI Emoji" w:hAnsi="Segoe UI Emoji" w:cs="Segoe UI Emoji"/>
        </w:rPr>
        <w:t>✅</w:t>
      </w:r>
      <w:r w:rsidRPr="00DD285D">
        <w:t xml:space="preserve"> Faster, more confident scaling decisions.</w:t>
      </w:r>
      <w:r w:rsidRPr="00DD285D">
        <w:br/>
      </w:r>
      <w:r w:rsidRPr="00DD285D">
        <w:rPr>
          <w:rFonts w:ascii="Segoe UI Emoji" w:hAnsi="Segoe UI Emoji" w:cs="Segoe UI Emoji"/>
        </w:rPr>
        <w:t>✅</w:t>
      </w:r>
      <w:r w:rsidRPr="00DD285D">
        <w:t xml:space="preserve"> Consistent profitability as you grow.</w:t>
      </w:r>
    </w:p>
    <w:p w14:paraId="79EF4469" w14:textId="77777777" w:rsidR="00DD285D" w:rsidRPr="00DD285D" w:rsidRDefault="00DD285D" w:rsidP="00DD285D">
      <w:r w:rsidRPr="00DD285D">
        <w:pict w14:anchorId="298358CE">
          <v:rect id="_x0000_i1087" style="width:0;height:1.5pt" o:hralign="center" o:hrstd="t" o:hr="t" fillcolor="#a0a0a0" stroked="f"/>
        </w:pict>
      </w:r>
    </w:p>
    <w:p w14:paraId="6B20743E" w14:textId="77777777" w:rsidR="00DD285D" w:rsidRPr="00DD285D" w:rsidRDefault="00DD285D" w:rsidP="00DD285D">
      <w:pPr>
        <w:rPr>
          <w:b/>
          <w:bCs/>
        </w:rPr>
      </w:pPr>
      <w:r w:rsidRPr="00DD285D">
        <w:rPr>
          <w:rFonts w:ascii="Segoe UI Emoji" w:hAnsi="Segoe UI Emoji" w:cs="Segoe UI Emoji"/>
          <w:b/>
          <w:bCs/>
        </w:rPr>
        <w:t>🏁</w:t>
      </w:r>
      <w:r w:rsidRPr="00DD285D">
        <w:rPr>
          <w:b/>
          <w:bCs/>
        </w:rPr>
        <w:t xml:space="preserve"> Final Note</w:t>
      </w:r>
    </w:p>
    <w:p w14:paraId="5718515A" w14:textId="77777777" w:rsidR="00DD285D" w:rsidRPr="00DD285D" w:rsidRDefault="00DD285D" w:rsidP="00DD285D">
      <w:r w:rsidRPr="00DD285D">
        <w:t>You cannot control what you do not measure.</w:t>
      </w:r>
    </w:p>
    <w:p w14:paraId="5AF5DA03" w14:textId="77777777" w:rsidR="00DD285D" w:rsidRPr="00DD285D" w:rsidRDefault="00DD285D" w:rsidP="00DD285D">
      <w:r w:rsidRPr="00DD285D">
        <w:t>When every number connects to profit instead of vanity, growth stops being emotional and becomes predictable.</w:t>
      </w:r>
    </w:p>
    <w:p w14:paraId="24B989A5" w14:textId="77777777" w:rsidR="00DD285D" w:rsidRPr="00DD285D" w:rsidRDefault="00DD285D" w:rsidP="00DD285D">
      <w:r w:rsidRPr="00DD285D">
        <w:t>Understanding these KPIs is not optional — it is the foundation of every healthy D2C business.</w:t>
      </w:r>
    </w:p>
    <w:p w14:paraId="524F3827" w14:textId="77777777" w:rsidR="00D344BC" w:rsidRPr="00DD285D" w:rsidRDefault="00D344BC" w:rsidP="00DD285D"/>
    <w:sectPr w:rsidR="00D344BC" w:rsidRPr="00DD28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33"/>
    <w:rsid w:val="000E2BCC"/>
    <w:rsid w:val="00291B33"/>
    <w:rsid w:val="00302A16"/>
    <w:rsid w:val="00BD412F"/>
    <w:rsid w:val="00D339A5"/>
    <w:rsid w:val="00D344BC"/>
    <w:rsid w:val="00DD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C5B0D1-A162-4C52-8F96-A3054055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1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1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1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1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1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1B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1B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1B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1B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1B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1B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1B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1B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1B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1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1B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1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637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2025-10-20T00:47:00Z</dcterms:created>
  <dcterms:modified xsi:type="dcterms:W3CDTF">2025-10-20T00:47:00Z</dcterms:modified>
</cp:coreProperties>
</file>