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70F5" w14:textId="77777777" w:rsidR="002C1D3E" w:rsidRPr="002C1D3E" w:rsidRDefault="002C1D3E" w:rsidP="002C1D3E">
      <w:pPr>
        <w:rPr>
          <w:b/>
          <w:bCs/>
        </w:rPr>
      </w:pPr>
      <w:r w:rsidRPr="002C1D3E">
        <w:rPr>
          <w:rFonts w:ascii="Segoe UI Emoji" w:hAnsi="Segoe UI Emoji" w:cs="Segoe UI Emoji"/>
          <w:b/>
          <w:bCs/>
        </w:rPr>
        <w:t>📉</w:t>
      </w:r>
      <w:r w:rsidRPr="002C1D3E">
        <w:rPr>
          <w:b/>
          <w:bCs/>
        </w:rPr>
        <w:t xml:space="preserve"> The Scaling Paradox Report</w:t>
      </w:r>
    </w:p>
    <w:p w14:paraId="2B802678" w14:textId="77777777" w:rsidR="002C1D3E" w:rsidRPr="002C1D3E" w:rsidRDefault="002C1D3E" w:rsidP="002C1D3E">
      <w:pPr>
        <w:rPr>
          <w:b/>
          <w:bCs/>
        </w:rPr>
      </w:pPr>
      <w:r w:rsidRPr="002C1D3E">
        <w:rPr>
          <w:b/>
          <w:bCs/>
        </w:rPr>
        <w:t>Why Fast Growth Destroys Profit — and How to Fix It</w:t>
      </w:r>
    </w:p>
    <w:p w14:paraId="6E509DA9" w14:textId="77777777" w:rsidR="002C1D3E" w:rsidRPr="002C1D3E" w:rsidRDefault="002C1D3E" w:rsidP="002C1D3E">
      <w:r w:rsidRPr="002C1D3E">
        <w:pict w14:anchorId="43D513C4">
          <v:rect id="_x0000_i1073" style="width:0;height:1.5pt" o:hralign="center" o:hrstd="t" o:hr="t" fillcolor="#a0a0a0" stroked="f"/>
        </w:pict>
      </w:r>
    </w:p>
    <w:p w14:paraId="25BD54F5" w14:textId="77777777" w:rsidR="002C1D3E" w:rsidRPr="002C1D3E" w:rsidRDefault="002C1D3E" w:rsidP="002C1D3E">
      <w:pPr>
        <w:rPr>
          <w:b/>
          <w:bCs/>
        </w:rPr>
      </w:pPr>
      <w:r w:rsidRPr="002C1D3E">
        <w:rPr>
          <w:rFonts w:ascii="Segoe UI Emoji" w:hAnsi="Segoe UI Emoji" w:cs="Segoe UI Emoji"/>
          <w:b/>
          <w:bCs/>
        </w:rPr>
        <w:t>🚀</w:t>
      </w:r>
      <w:r w:rsidRPr="002C1D3E">
        <w:rPr>
          <w:b/>
          <w:bCs/>
        </w:rPr>
        <w:t xml:space="preserve"> Overview</w:t>
      </w:r>
    </w:p>
    <w:p w14:paraId="6B70F885" w14:textId="77777777" w:rsidR="002C1D3E" w:rsidRPr="002C1D3E" w:rsidRDefault="002C1D3E" w:rsidP="002C1D3E">
      <w:r w:rsidRPr="002C1D3E">
        <w:t>Most brands believe scaling is a straight line: more spend equals more revenue.</w:t>
      </w:r>
      <w:r w:rsidRPr="002C1D3E">
        <w:br/>
        <w:t>In reality, it’s a curve — one that bends sharply when systems, logistics, and margins can’t keep up.</w:t>
      </w:r>
    </w:p>
    <w:p w14:paraId="67FAE506" w14:textId="77777777" w:rsidR="002C1D3E" w:rsidRPr="002C1D3E" w:rsidRDefault="002C1D3E" w:rsidP="002C1D3E">
      <w:r w:rsidRPr="002C1D3E">
        <w:t>The Scaling Paradox Report exposes the data patterns behind why 9 out of 10 D2C brands lose profit while growing revenue.</w:t>
      </w:r>
      <w:r w:rsidRPr="002C1D3E">
        <w:br/>
        <w:t xml:space="preserve">It’s built from real-world performance data and shows you how to build a growth model that scales </w:t>
      </w:r>
      <w:r w:rsidRPr="002C1D3E">
        <w:rPr>
          <w:i/>
          <w:iCs/>
        </w:rPr>
        <w:t>profitably</w:t>
      </w:r>
      <w:r w:rsidRPr="002C1D3E">
        <w:t>, not just faster.</w:t>
      </w:r>
    </w:p>
    <w:p w14:paraId="1F3107CD" w14:textId="77777777" w:rsidR="002C1D3E" w:rsidRPr="002C1D3E" w:rsidRDefault="002C1D3E" w:rsidP="002C1D3E">
      <w:r w:rsidRPr="002C1D3E">
        <w:pict w14:anchorId="60642F53">
          <v:rect id="_x0000_i1074" style="width:0;height:1.5pt" o:hralign="center" o:hrstd="t" o:hr="t" fillcolor="#a0a0a0" stroked="f"/>
        </w:pict>
      </w:r>
    </w:p>
    <w:p w14:paraId="3704F72D" w14:textId="77777777" w:rsidR="002C1D3E" w:rsidRPr="002C1D3E" w:rsidRDefault="002C1D3E" w:rsidP="002C1D3E">
      <w:pPr>
        <w:rPr>
          <w:b/>
          <w:bCs/>
        </w:rPr>
      </w:pPr>
      <w:r w:rsidRPr="002C1D3E">
        <w:rPr>
          <w:rFonts w:ascii="Segoe UI Emoji" w:hAnsi="Segoe UI Emoji" w:cs="Segoe UI Emoji"/>
          <w:b/>
          <w:bCs/>
        </w:rPr>
        <w:t>🎯</w:t>
      </w:r>
      <w:r w:rsidRPr="002C1D3E">
        <w:rPr>
          <w:b/>
          <w:bCs/>
        </w:rPr>
        <w:t xml:space="preserve"> Why This Works</w:t>
      </w:r>
    </w:p>
    <w:p w14:paraId="548B398F" w14:textId="77777777" w:rsidR="002C1D3E" w:rsidRPr="002C1D3E" w:rsidRDefault="002C1D3E" w:rsidP="002C1D3E">
      <w:r w:rsidRPr="002C1D3E">
        <w:rPr>
          <w:rFonts w:ascii="Segoe UI Emoji" w:hAnsi="Segoe UI Emoji" w:cs="Segoe UI Emoji"/>
        </w:rPr>
        <w:t>✅</w:t>
      </w:r>
      <w:r w:rsidRPr="002C1D3E">
        <w:t xml:space="preserve"> Quantifies the invisible trade-offs between speed and profit.</w:t>
      </w:r>
      <w:r w:rsidRPr="002C1D3E">
        <w:br/>
      </w:r>
      <w:r w:rsidRPr="002C1D3E">
        <w:rPr>
          <w:rFonts w:ascii="Segoe UI Emoji" w:hAnsi="Segoe UI Emoji" w:cs="Segoe UI Emoji"/>
        </w:rPr>
        <w:t>✅</w:t>
      </w:r>
      <w:r w:rsidRPr="002C1D3E">
        <w:t xml:space="preserve"> Reframes scaling as a sequence of controlled optimizations.</w:t>
      </w:r>
      <w:r w:rsidRPr="002C1D3E">
        <w:br/>
      </w:r>
      <w:r w:rsidRPr="002C1D3E">
        <w:rPr>
          <w:rFonts w:ascii="Segoe UI Emoji" w:hAnsi="Segoe UI Emoji" w:cs="Segoe UI Emoji"/>
        </w:rPr>
        <w:t>✅</w:t>
      </w:r>
      <w:r w:rsidRPr="002C1D3E">
        <w:t xml:space="preserve"> Highlights the exact point where growth becomes unhealthy.</w:t>
      </w:r>
      <w:r w:rsidRPr="002C1D3E">
        <w:br/>
      </w:r>
      <w:r w:rsidRPr="002C1D3E">
        <w:rPr>
          <w:rFonts w:ascii="Segoe UI Emoji" w:hAnsi="Segoe UI Emoji" w:cs="Segoe UI Emoji"/>
        </w:rPr>
        <w:t>✅</w:t>
      </w:r>
      <w:r w:rsidRPr="002C1D3E">
        <w:t xml:space="preserve"> Gives founders the roadmap to maintain margin through every stage.</w:t>
      </w:r>
    </w:p>
    <w:p w14:paraId="7C2C1656" w14:textId="77777777" w:rsidR="002C1D3E" w:rsidRPr="002C1D3E" w:rsidRDefault="002C1D3E" w:rsidP="002C1D3E">
      <w:r w:rsidRPr="002C1D3E">
        <w:pict w14:anchorId="7E787D48">
          <v:rect id="_x0000_i1075" style="width:0;height:1.5pt" o:hralign="center" o:hrstd="t" o:hr="t" fillcolor="#a0a0a0" stroked="f"/>
        </w:pict>
      </w:r>
    </w:p>
    <w:p w14:paraId="4261D6F4" w14:textId="77777777" w:rsidR="002C1D3E" w:rsidRPr="002C1D3E" w:rsidRDefault="002C1D3E" w:rsidP="002C1D3E">
      <w:pPr>
        <w:rPr>
          <w:b/>
          <w:bCs/>
        </w:rPr>
      </w:pPr>
      <w:r w:rsidRPr="002C1D3E">
        <w:rPr>
          <w:rFonts w:ascii="Segoe UI Emoji" w:hAnsi="Segoe UI Emoji" w:cs="Segoe UI Emoji"/>
          <w:b/>
          <w:bCs/>
        </w:rPr>
        <w:t>🧩</w:t>
      </w:r>
      <w:r w:rsidRPr="002C1D3E">
        <w:rPr>
          <w:b/>
          <w:bCs/>
        </w:rPr>
        <w:t xml:space="preserve"> The Framework</w:t>
      </w:r>
    </w:p>
    <w:p w14:paraId="3E803644" w14:textId="77777777" w:rsidR="002C1D3E" w:rsidRPr="002C1D3E" w:rsidRDefault="002C1D3E" w:rsidP="002C1D3E">
      <w:pPr>
        <w:rPr>
          <w:b/>
          <w:bCs/>
        </w:rPr>
      </w:pPr>
      <w:r w:rsidRPr="002C1D3E">
        <w:rPr>
          <w:b/>
          <w:bCs/>
        </w:rPr>
        <w:t>1️</w:t>
      </w:r>
      <w:r w:rsidRPr="002C1D3E">
        <w:rPr>
          <w:rFonts w:ascii="Segoe UI Symbol" w:hAnsi="Segoe UI Symbol" w:cs="Segoe UI Symbol"/>
          <w:b/>
          <w:bCs/>
        </w:rPr>
        <w:t>⃣</w:t>
      </w:r>
      <w:r w:rsidRPr="002C1D3E">
        <w:rPr>
          <w:b/>
          <w:bCs/>
        </w:rPr>
        <w:t xml:space="preserve"> The Growth Efficiency Curve</w:t>
      </w:r>
    </w:p>
    <w:p w14:paraId="57AEB08F" w14:textId="77777777" w:rsidR="002C1D3E" w:rsidRPr="002C1D3E" w:rsidRDefault="002C1D3E" w:rsidP="002C1D3E">
      <w:r w:rsidRPr="002C1D3E">
        <w:t>At low spend levels, every dollar compounds.</w:t>
      </w:r>
      <w:r w:rsidRPr="002C1D3E">
        <w:br/>
        <w:t>But beyond a certain threshold, each new dollar adds more cost than revenue — from logistics strain, creative fatigue, or ad inefficiency.</w:t>
      </w:r>
    </w:p>
    <w:p w14:paraId="63B84054" w14:textId="77777777" w:rsidR="002C1D3E" w:rsidRPr="002C1D3E" w:rsidRDefault="002C1D3E" w:rsidP="002C1D3E">
      <w:r w:rsidRPr="002C1D3E">
        <w:t xml:space="preserve">This report visualizes that inflection point using your own MER and CM2 data, so you know </w:t>
      </w:r>
      <w:r w:rsidRPr="002C1D3E">
        <w:rPr>
          <w:i/>
          <w:iCs/>
        </w:rPr>
        <w:t>exactly</w:t>
      </w:r>
      <w:r w:rsidRPr="002C1D3E">
        <w:t xml:space="preserve"> when growth turns unprofitable.</w:t>
      </w:r>
    </w:p>
    <w:p w14:paraId="2E88C350" w14:textId="77777777" w:rsidR="002C1D3E" w:rsidRPr="002C1D3E" w:rsidRDefault="002C1D3E" w:rsidP="002C1D3E">
      <w:r w:rsidRPr="002C1D3E">
        <w:pict w14:anchorId="6F6B3634">
          <v:rect id="_x0000_i1076" style="width:0;height:1.5pt" o:hralign="center" o:hrstd="t" o:hr="t" fillcolor="#a0a0a0" stroked="f"/>
        </w:pict>
      </w:r>
    </w:p>
    <w:p w14:paraId="4FB9A403" w14:textId="77777777" w:rsidR="002C1D3E" w:rsidRPr="002C1D3E" w:rsidRDefault="002C1D3E" w:rsidP="002C1D3E">
      <w:pPr>
        <w:rPr>
          <w:b/>
          <w:bCs/>
        </w:rPr>
      </w:pPr>
      <w:r w:rsidRPr="002C1D3E">
        <w:rPr>
          <w:b/>
          <w:bCs/>
        </w:rPr>
        <w:t>2️</w:t>
      </w:r>
      <w:r w:rsidRPr="002C1D3E">
        <w:rPr>
          <w:rFonts w:ascii="Segoe UI Symbol" w:hAnsi="Segoe UI Symbol" w:cs="Segoe UI Symbol"/>
          <w:b/>
          <w:bCs/>
        </w:rPr>
        <w:t>⃣</w:t>
      </w:r>
      <w:r w:rsidRPr="002C1D3E">
        <w:rPr>
          <w:b/>
          <w:bCs/>
        </w:rPr>
        <w:t xml:space="preserve"> The Hidden Cost Layers</w:t>
      </w:r>
    </w:p>
    <w:p w14:paraId="1FD5D9AA" w14:textId="77777777" w:rsidR="002C1D3E" w:rsidRPr="002C1D3E" w:rsidRDefault="002C1D3E" w:rsidP="002C1D3E">
      <w:r w:rsidRPr="002C1D3E">
        <w:t>The report breaks down five profit-draining factors that scale with revenue:</w:t>
      </w:r>
      <w:r w:rsidRPr="002C1D3E">
        <w:br/>
        <w:t>• Inventory lag and storage fees</w:t>
      </w:r>
      <w:r w:rsidRPr="002C1D3E">
        <w:br/>
        <w:t>• Cash flow gaps due to delayed returns</w:t>
      </w:r>
      <w:r w:rsidRPr="002C1D3E">
        <w:br/>
        <w:t>• CAC inflation at higher budgets</w:t>
      </w:r>
      <w:r w:rsidRPr="002C1D3E">
        <w:br/>
        <w:t>• Burnout-driven decision errors</w:t>
      </w:r>
      <w:r w:rsidRPr="002C1D3E">
        <w:br/>
        <w:t>• Fulfillment cost escalation</w:t>
      </w:r>
    </w:p>
    <w:p w14:paraId="6A0C08AD" w14:textId="77777777" w:rsidR="002C1D3E" w:rsidRPr="002C1D3E" w:rsidRDefault="002C1D3E" w:rsidP="002C1D3E">
      <w:r w:rsidRPr="002C1D3E">
        <w:lastRenderedPageBreak/>
        <w:t>Each one is quantified by % of revenue loss to show where optimization matters most.</w:t>
      </w:r>
    </w:p>
    <w:p w14:paraId="6AB5BE58" w14:textId="77777777" w:rsidR="002C1D3E" w:rsidRPr="002C1D3E" w:rsidRDefault="002C1D3E" w:rsidP="002C1D3E">
      <w:r w:rsidRPr="002C1D3E">
        <w:pict w14:anchorId="7F0B5D40">
          <v:rect id="_x0000_i1077" style="width:0;height:1.5pt" o:hralign="center" o:hrstd="t" o:hr="t" fillcolor="#a0a0a0" stroked="f"/>
        </w:pict>
      </w:r>
    </w:p>
    <w:p w14:paraId="59542C94" w14:textId="77777777" w:rsidR="002C1D3E" w:rsidRPr="002C1D3E" w:rsidRDefault="002C1D3E" w:rsidP="002C1D3E">
      <w:pPr>
        <w:rPr>
          <w:b/>
          <w:bCs/>
        </w:rPr>
      </w:pPr>
      <w:r w:rsidRPr="002C1D3E">
        <w:rPr>
          <w:b/>
          <w:bCs/>
        </w:rPr>
        <w:t>3️</w:t>
      </w:r>
      <w:r w:rsidRPr="002C1D3E">
        <w:rPr>
          <w:rFonts w:ascii="Segoe UI Symbol" w:hAnsi="Segoe UI Symbol" w:cs="Segoe UI Symbol"/>
          <w:b/>
          <w:bCs/>
        </w:rPr>
        <w:t>⃣</w:t>
      </w:r>
      <w:r w:rsidRPr="002C1D3E">
        <w:rPr>
          <w:b/>
          <w:bCs/>
        </w:rPr>
        <w:t xml:space="preserve"> The Stability Zone Model</w:t>
      </w:r>
    </w:p>
    <w:p w14:paraId="0D3F1837" w14:textId="77777777" w:rsidR="002C1D3E" w:rsidRPr="002C1D3E" w:rsidRDefault="002C1D3E" w:rsidP="002C1D3E">
      <w:r w:rsidRPr="002C1D3E">
        <w:t>This model shows how to scale within your “Profit Stability Zone” — a range where growth speed and operational capacity stay balanced.</w:t>
      </w:r>
    </w:p>
    <w:p w14:paraId="48909F6A" w14:textId="77777777" w:rsidR="002C1D3E" w:rsidRPr="002C1D3E" w:rsidRDefault="002C1D3E" w:rsidP="002C1D3E">
      <w:r w:rsidRPr="002C1D3E">
        <w:t>Inside the zone, your profit per dollar remains consistent.</w:t>
      </w:r>
      <w:r w:rsidRPr="002C1D3E">
        <w:br/>
        <w:t>Outside it, efficiency collapses.</w:t>
      </w:r>
    </w:p>
    <w:p w14:paraId="6F409081" w14:textId="77777777" w:rsidR="002C1D3E" w:rsidRPr="002C1D3E" w:rsidRDefault="002C1D3E" w:rsidP="002C1D3E">
      <w:r w:rsidRPr="002C1D3E">
        <w:t>You’ll learn how to calculate this zone using your historical MER trendline and cash flow forecast.</w:t>
      </w:r>
    </w:p>
    <w:p w14:paraId="1AF48D64" w14:textId="77777777" w:rsidR="002C1D3E" w:rsidRPr="002C1D3E" w:rsidRDefault="002C1D3E" w:rsidP="002C1D3E">
      <w:r w:rsidRPr="002C1D3E">
        <w:pict w14:anchorId="720563E5">
          <v:rect id="_x0000_i1078" style="width:0;height:1.5pt" o:hralign="center" o:hrstd="t" o:hr="t" fillcolor="#a0a0a0" stroked="f"/>
        </w:pict>
      </w:r>
    </w:p>
    <w:p w14:paraId="32E0F7CA" w14:textId="77777777" w:rsidR="002C1D3E" w:rsidRPr="002C1D3E" w:rsidRDefault="002C1D3E" w:rsidP="002C1D3E">
      <w:pPr>
        <w:rPr>
          <w:b/>
          <w:bCs/>
        </w:rPr>
      </w:pPr>
      <w:r w:rsidRPr="002C1D3E">
        <w:rPr>
          <w:b/>
          <w:bCs/>
        </w:rPr>
        <w:t>4️</w:t>
      </w:r>
      <w:r w:rsidRPr="002C1D3E">
        <w:rPr>
          <w:rFonts w:ascii="Segoe UI Symbol" w:hAnsi="Segoe UI Symbol" w:cs="Segoe UI Symbol"/>
          <w:b/>
          <w:bCs/>
        </w:rPr>
        <w:t>⃣</w:t>
      </w:r>
      <w:r w:rsidRPr="002C1D3E">
        <w:rPr>
          <w:b/>
          <w:bCs/>
        </w:rPr>
        <w:t xml:space="preserve"> The Paradox Resolution</w:t>
      </w:r>
    </w:p>
    <w:p w14:paraId="7B8EDEA4" w14:textId="77777777" w:rsidR="002C1D3E" w:rsidRPr="002C1D3E" w:rsidRDefault="002C1D3E" w:rsidP="002C1D3E">
      <w:r w:rsidRPr="002C1D3E">
        <w:t>The key is not avoiding scale — it’s sequencing it correctly.</w:t>
      </w:r>
      <w:r w:rsidRPr="002C1D3E">
        <w:br/>
        <w:t>You’ll discover how to structure your next growth phase through:</w:t>
      </w:r>
      <w:r w:rsidRPr="002C1D3E">
        <w:br/>
        <w:t>• Spend pacing models</w:t>
      </w:r>
      <w:r w:rsidRPr="002C1D3E">
        <w:br/>
        <w:t>• Capacity planning ratios</w:t>
      </w:r>
      <w:r w:rsidRPr="002C1D3E">
        <w:br/>
        <w:t>• Profit-first scaling checkpoints</w:t>
      </w:r>
    </w:p>
    <w:p w14:paraId="330026C0" w14:textId="77777777" w:rsidR="002C1D3E" w:rsidRPr="002C1D3E" w:rsidRDefault="002C1D3E" w:rsidP="002C1D3E">
      <w:r w:rsidRPr="002C1D3E">
        <w:t>Outcome: Controlled, sustainable expansion that compounds instead of collapses.</w:t>
      </w:r>
    </w:p>
    <w:p w14:paraId="27DB6041" w14:textId="77777777" w:rsidR="002C1D3E" w:rsidRPr="002C1D3E" w:rsidRDefault="002C1D3E" w:rsidP="002C1D3E">
      <w:r w:rsidRPr="002C1D3E">
        <w:pict w14:anchorId="53D64DF0">
          <v:rect id="_x0000_i1079" style="width:0;height:1.5pt" o:hralign="center" o:hrstd="t" o:hr="t" fillcolor="#a0a0a0" stroked="f"/>
        </w:pict>
      </w:r>
    </w:p>
    <w:p w14:paraId="2608628D" w14:textId="77777777" w:rsidR="002C1D3E" w:rsidRPr="002C1D3E" w:rsidRDefault="002C1D3E" w:rsidP="002C1D3E">
      <w:pPr>
        <w:rPr>
          <w:b/>
          <w:bCs/>
        </w:rPr>
      </w:pPr>
      <w:r w:rsidRPr="002C1D3E">
        <w:rPr>
          <w:rFonts w:ascii="Segoe UI Emoji" w:hAnsi="Segoe UI Emoji" w:cs="Segoe UI Emoji"/>
          <w:b/>
          <w:bCs/>
        </w:rPr>
        <w:t>📈</w:t>
      </w:r>
      <w:r w:rsidRPr="002C1D3E">
        <w:rPr>
          <w:b/>
          <w:bCs/>
        </w:rPr>
        <w:t xml:space="preserve"> Results You Can Expect</w:t>
      </w:r>
    </w:p>
    <w:p w14:paraId="2AB972E5" w14:textId="77777777" w:rsidR="002C1D3E" w:rsidRPr="002C1D3E" w:rsidRDefault="002C1D3E" w:rsidP="002C1D3E">
      <w:r w:rsidRPr="002C1D3E">
        <w:rPr>
          <w:rFonts w:ascii="Segoe UI Emoji" w:hAnsi="Segoe UI Emoji" w:cs="Segoe UI Emoji"/>
        </w:rPr>
        <w:t>✅</w:t>
      </w:r>
      <w:r w:rsidRPr="002C1D3E">
        <w:t xml:space="preserve"> Predictable scaling without margin collapse.</w:t>
      </w:r>
      <w:r w:rsidRPr="002C1D3E">
        <w:br/>
      </w:r>
      <w:r w:rsidRPr="002C1D3E">
        <w:rPr>
          <w:rFonts w:ascii="Segoe UI Emoji" w:hAnsi="Segoe UI Emoji" w:cs="Segoe UI Emoji"/>
        </w:rPr>
        <w:t>✅</w:t>
      </w:r>
      <w:r w:rsidRPr="002C1D3E">
        <w:t xml:space="preserve"> Clarity on your safe scaling thresholds.</w:t>
      </w:r>
      <w:r w:rsidRPr="002C1D3E">
        <w:br/>
      </w:r>
      <w:r w:rsidRPr="002C1D3E">
        <w:rPr>
          <w:rFonts w:ascii="Segoe UI Emoji" w:hAnsi="Segoe UI Emoji" w:cs="Segoe UI Emoji"/>
        </w:rPr>
        <w:t>✅</w:t>
      </w:r>
      <w:r w:rsidRPr="002C1D3E">
        <w:t xml:space="preserve"> Measurable framework for long-term profitability.</w:t>
      </w:r>
      <w:r w:rsidRPr="002C1D3E">
        <w:br/>
      </w:r>
      <w:r w:rsidRPr="002C1D3E">
        <w:rPr>
          <w:rFonts w:ascii="Segoe UI Emoji" w:hAnsi="Segoe UI Emoji" w:cs="Segoe UI Emoji"/>
        </w:rPr>
        <w:t>✅</w:t>
      </w:r>
      <w:r w:rsidRPr="002C1D3E">
        <w:t xml:space="preserve"> Reduced operational stress during growth periods.</w:t>
      </w:r>
    </w:p>
    <w:p w14:paraId="27799375" w14:textId="77777777" w:rsidR="002C1D3E" w:rsidRPr="002C1D3E" w:rsidRDefault="002C1D3E" w:rsidP="002C1D3E">
      <w:r w:rsidRPr="002C1D3E">
        <w:pict w14:anchorId="5F78D2DE">
          <v:rect id="_x0000_i1080" style="width:0;height:1.5pt" o:hralign="center" o:hrstd="t" o:hr="t" fillcolor="#a0a0a0" stroked="f"/>
        </w:pict>
      </w:r>
    </w:p>
    <w:p w14:paraId="7E1AC84A" w14:textId="77777777" w:rsidR="002C1D3E" w:rsidRPr="002C1D3E" w:rsidRDefault="002C1D3E" w:rsidP="002C1D3E">
      <w:pPr>
        <w:rPr>
          <w:b/>
          <w:bCs/>
        </w:rPr>
      </w:pPr>
      <w:r w:rsidRPr="002C1D3E">
        <w:rPr>
          <w:rFonts w:ascii="Segoe UI Emoji" w:hAnsi="Segoe UI Emoji" w:cs="Segoe UI Emoji"/>
          <w:b/>
          <w:bCs/>
        </w:rPr>
        <w:t>🏁</w:t>
      </w:r>
      <w:r w:rsidRPr="002C1D3E">
        <w:rPr>
          <w:b/>
          <w:bCs/>
        </w:rPr>
        <w:t xml:space="preserve"> Final Note</w:t>
      </w:r>
    </w:p>
    <w:p w14:paraId="6482C873" w14:textId="77777777" w:rsidR="002C1D3E" w:rsidRPr="002C1D3E" w:rsidRDefault="002C1D3E" w:rsidP="002C1D3E">
      <w:r w:rsidRPr="002C1D3E">
        <w:t xml:space="preserve">The goal isn’t to grow faster — it’s to grow </w:t>
      </w:r>
      <w:r w:rsidRPr="002C1D3E">
        <w:rPr>
          <w:i/>
          <w:iCs/>
        </w:rPr>
        <w:t>forever</w:t>
      </w:r>
      <w:r w:rsidRPr="002C1D3E">
        <w:t>.</w:t>
      </w:r>
    </w:p>
    <w:p w14:paraId="0850D081" w14:textId="77777777" w:rsidR="002C1D3E" w:rsidRPr="002C1D3E" w:rsidRDefault="002C1D3E" w:rsidP="002C1D3E">
      <w:r w:rsidRPr="002C1D3E">
        <w:t>When you understand the economics of speed, you stop chasing volume and start designing systems that protect profit.</w:t>
      </w:r>
    </w:p>
    <w:p w14:paraId="1F5B877C" w14:textId="77777777" w:rsidR="002C1D3E" w:rsidRPr="002C1D3E" w:rsidRDefault="002C1D3E" w:rsidP="002C1D3E">
      <w:r w:rsidRPr="002C1D3E">
        <w:t>The Scaling Paradox Report shows you exactly where that balance lies.</w:t>
      </w:r>
    </w:p>
    <w:p w14:paraId="4A42E841" w14:textId="77777777" w:rsidR="00D344BC" w:rsidRPr="002C1D3E" w:rsidRDefault="00D344BC" w:rsidP="002C1D3E"/>
    <w:sectPr w:rsidR="00D344BC" w:rsidRPr="002C1D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9E"/>
    <w:rsid w:val="000E2BCC"/>
    <w:rsid w:val="002C1D3E"/>
    <w:rsid w:val="00302A16"/>
    <w:rsid w:val="00326C89"/>
    <w:rsid w:val="00D339A5"/>
    <w:rsid w:val="00D344BC"/>
    <w:rsid w:val="00D4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E2DE3-5E21-457B-B6D5-7207A79D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1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1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1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1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1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169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169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16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16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16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16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16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16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169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1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169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1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2025-10-20T09:52:00Z</dcterms:created>
  <dcterms:modified xsi:type="dcterms:W3CDTF">2025-10-20T09:52:00Z</dcterms:modified>
</cp:coreProperties>
</file>