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 xml:space="preserve">“Programming Fundamentals” course @ </w:t>
        </w:r>
        <w:proofErr w:type="spellStart"/>
        <w:r w:rsidRPr="00603773">
          <w:rPr>
            <w:rStyle w:val="Hyperlink"/>
          </w:rPr>
          <w:t>SoftUni</w:t>
        </w:r>
        <w:proofErr w:type="spellEnd"/>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w:t>
        </w:r>
        <w:bookmarkStart w:id="0" w:name="_GoBack"/>
        <w:bookmarkEnd w:id="0"/>
        <w:r w:rsidR="00C048A1">
          <w:rPr>
            <w:rStyle w:val="Hyperlink"/>
          </w:rPr>
          <w:t>3</w:t>
        </w:r>
        <w:r w:rsidR="00C048A1">
          <w:rPr>
            <w:rStyle w:val="Hyperlink"/>
          </w:rPr>
          <w:t>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proofErr w:type="spellStart"/>
      <w:r>
        <w:t>PrintReceiptHeader</w:t>
      </w:r>
      <w:proofErr w:type="spellEnd"/>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w:t>
      </w:r>
      <w:proofErr w:type="spellStart"/>
      <w:r>
        <w:t>PrintReceipt</w:t>
      </w:r>
      <w:proofErr w:type="spellEnd"/>
      <w:r>
        <w: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 xml:space="preserve">(invoke) the </w:t>
      </w:r>
      <w:proofErr w:type="spellStart"/>
      <w:r w:rsidRPr="00EE77CA">
        <w:t>PrintReceipt</w:t>
      </w:r>
      <w:proofErr w:type="spellEnd"/>
      <w:r w:rsidRPr="00EE77CA">
        <w:t xml:space="preserve"> method from the main.</w:t>
      </w:r>
    </w:p>
    <w:p w:rsidR="00EE77CA" w:rsidRPr="00F403AE" w:rsidRDefault="00EE77CA" w:rsidP="00EE77CA">
      <w:r>
        <w:rPr>
          <w:noProof/>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w:t>
      </w:r>
      <w:proofErr w:type="spellStart"/>
      <w:r>
        <w:t>PrintSign</w:t>
      </w:r>
      <w:proofErr w:type="spellEnd"/>
      <w:r>
        <w:t xml:space="preserve">"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Create the method which will print the middle rows. Well, of course, you should probably name it "</w:t>
      </w:r>
      <w:proofErr w:type="spellStart"/>
      <w:r>
        <w:t>PrintMiddleRow</w:t>
      </w:r>
      <w:proofErr w:type="spellEnd"/>
      <w:r>
        <w:t xml:space="preserve">"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w:t>
      </w:r>
      <w:proofErr w:type="spellStart"/>
      <w:r>
        <w:t>int</w:t>
      </w:r>
      <w:proofErr w:type="spellEnd"/>
      <w:r>
        <w:t xml:space="preserve">, </w:t>
      </w:r>
      <w:r w:rsidR="000E19DB">
        <w:t>char of</w:t>
      </w:r>
      <w:r>
        <w:t xml:space="preserve"> string. </w:t>
      </w:r>
      <w:r w:rsidRPr="00AA282B">
        <w:t xml:space="preserve">Create a method </w:t>
      </w:r>
      <w:proofErr w:type="spellStart"/>
      <w:proofErr w:type="gramStart"/>
      <w:r w:rsidRPr="00AA282B">
        <w:t>GetMax</w:t>
      </w:r>
      <w:proofErr w:type="spellEnd"/>
      <w:r w:rsidRPr="00AA282B">
        <w:t>(</w:t>
      </w:r>
      <w:proofErr w:type="gramEnd"/>
      <w:r w:rsidRPr="00AA282B">
        <w:t xml:space="preserve">)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proofErr w:type="spellStart"/>
            <w:r>
              <w:rPr>
                <w:bCs/>
              </w:rPr>
              <w:t>i</w:t>
            </w:r>
            <w:r w:rsidR="00AA282B">
              <w:rPr>
                <w:bCs/>
              </w:rPr>
              <w:t>nt</w:t>
            </w:r>
            <w:proofErr w:type="spellEnd"/>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proofErr w:type="spellStart"/>
            <w:r>
              <w:rPr>
                <w:bCs/>
              </w:rPr>
              <w:lastRenderedPageBreak/>
              <w:t>Todor</w:t>
            </w:r>
            <w:proofErr w:type="spellEnd"/>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w:t>
      </w:r>
      <w:proofErr w:type="spellStart"/>
      <w:r>
        <w:t>CompareTo</w:t>
      </w:r>
      <w:proofErr w:type="spellEnd"/>
      <w:r>
        <w:t>()",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w:t>
      </w:r>
      <w:proofErr w:type="spellStart"/>
      <w:r>
        <w:t>GetMax</w:t>
      </w:r>
      <w:proofErr w:type="spellEnd"/>
      <w:r>
        <w:t xml:space="preserve">()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w:t>
      </w:r>
      <w:proofErr w:type="spellStart"/>
      <w:r>
        <w:t>GetMultipleOfEvensAndOdds</w:t>
      </w:r>
      <w:proofErr w:type="spellEnd"/>
      <w:r>
        <w:t xml:space="preserve">).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proofErr w:type="spellStart"/>
      <w:r w:rsidRPr="0049630C">
        <w:rPr>
          <w:b/>
        </w:rPr>
        <w:t>Math.Abs</w:t>
      </w:r>
      <w:proofErr w:type="spellEnd"/>
      <w:r w:rsidRPr="0049630C">
        <w:rPr>
          <w:b/>
        </w:rPr>
        <w:t>()</w:t>
      </w:r>
      <w:r>
        <w:t>)</w:t>
      </w:r>
    </w:p>
    <w:p w:rsidR="001E4563" w:rsidRDefault="00990BB4" w:rsidP="001E4563">
      <w:pPr>
        <w:pStyle w:val="Heading2"/>
        <w:rPr>
          <w:bCs/>
          <w:lang w:val="en-US"/>
        </w:rPr>
      </w:pPr>
      <w:r>
        <w:rPr>
          <w:bCs/>
          <w:lang w:val="en-US"/>
        </w:rPr>
        <w:lastRenderedPageBreak/>
        <w:t xml:space="preserve">Debug the Code: Holidays </w:t>
      </w:r>
      <w:proofErr w:type="gramStart"/>
      <w:r>
        <w:rPr>
          <w:bCs/>
          <w:lang w:val="en-US"/>
        </w:rPr>
        <w:t>B</w:t>
      </w:r>
      <w:r w:rsidR="001E4563">
        <w:rPr>
          <w:bCs/>
          <w:lang w:val="en-US"/>
        </w:rPr>
        <w:t>etween</w:t>
      </w:r>
      <w:proofErr w:type="gramEnd"/>
      <w:r w:rsidR="001E4563">
        <w:rPr>
          <w:bCs/>
          <w:lang w:val="en-US"/>
        </w:rPr>
        <w:t xml:space="preserve">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Hyperlink"/>
          </w:rPr>
          <w:t xml:space="preserve">Broken </w:t>
        </w:r>
        <w:r w:rsidR="00507D9A" w:rsidRPr="00990BB4">
          <w:rPr>
            <w:rStyle w:val="Hyperlink"/>
          </w:rPr>
          <w:t>C</w:t>
        </w:r>
        <w:r w:rsidR="00507D9A" w:rsidRPr="00990BB4">
          <w:rPr>
            <w:rStyle w:val="Hyperlink"/>
          </w:rPr>
          <w:t>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Hyperlink"/>
          </w:rPr>
          <w:t>Broken C</w:t>
        </w:r>
        <w:r w:rsidR="00990BB4" w:rsidRPr="00990BB4">
          <w:rPr>
            <w:rStyle w:val="Hyperlink"/>
          </w:rPr>
          <w:t>o</w:t>
        </w:r>
        <w:r w:rsidR="00990BB4" w:rsidRPr="00990BB4">
          <w:rPr>
            <w:rStyle w:val="Hyperlink"/>
          </w:rPr>
          <w:t>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roofErr w:type="gramStart"/>
      <w:r w:rsidR="00DF4B1D">
        <w:t>}%</w:t>
      </w:r>
      <w:proofErr w:type="gramEnd"/>
      <w:r w:rsidR="00DF4B1D">
        <w:t>)"</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w:t>
      </w:r>
      <w:proofErr w:type="gramStart"/>
      <w:r>
        <w:t>}%</w:t>
      </w:r>
      <w:proofErr w:type="gramEnd"/>
      <w:r>
        <w:t>)"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226" w:rsidRDefault="00816226" w:rsidP="008068A2">
      <w:pPr>
        <w:spacing w:after="0" w:line="240" w:lineRule="auto"/>
      </w:pPr>
      <w:r>
        <w:separator/>
      </w:r>
    </w:p>
  </w:endnote>
  <w:endnote w:type="continuationSeparator" w:id="0">
    <w:p w:rsidR="00816226" w:rsidRDefault="008162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B9D">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B9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B9D">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B9D">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226" w:rsidRDefault="00816226" w:rsidP="008068A2">
      <w:pPr>
        <w:spacing w:after="0" w:line="240" w:lineRule="auto"/>
      </w:pPr>
      <w:r>
        <w:separator/>
      </w:r>
    </w:p>
  </w:footnote>
  <w:footnote w:type="continuationSeparator" w:id="0">
    <w:p w:rsidR="00816226" w:rsidRDefault="008162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6B9D"/>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81535"/>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16226"/>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plus.google.com/+SoftuniBg/" TargetMode="External"/><Relationship Id="rId18" Type="http://schemas.openxmlformats.org/officeDocument/2006/relationships/image" Target="media/image30.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27.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image" Target="media/image22.jpeg"/><Relationship Id="rId6" Type="http://schemas.openxmlformats.org/officeDocument/2006/relationships/image" Target="media/image24.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3.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26.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F7656-C359-4169-B3CB-0657AA72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1</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Hristo Kehayov</cp:lastModifiedBy>
  <cp:revision>136</cp:revision>
  <cp:lastPrinted>2015-10-26T22:35:00Z</cp:lastPrinted>
  <dcterms:created xsi:type="dcterms:W3CDTF">2015-01-15T07:45:00Z</dcterms:created>
  <dcterms:modified xsi:type="dcterms:W3CDTF">2017-08-13T20:14:00Z</dcterms:modified>
  <cp:category>programming, education, software engineering, software development</cp:category>
</cp:coreProperties>
</file>