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20" w:before="100"/>
      </w:pPr>
      <w:r>
        <w:rPr>
          <w:b/>
          <w:bCs/>
          <w:color w:val="FFFFFF"/>
          <w:sz w:val="24"/>
          <w:szCs w:val="24"/>
        </w:rPr>
        <w:t xml:space="preserve">SALES FORECASTING &amp; DEMAND INTELLIGENCE — EXECUTIVE BRIEF</w:t>
      </w:r>
    </w:p>
    <w:p>
      <w:pPr>
        <w:spacing w:after="80"/>
      </w:pPr>
      <w:r>
        <w:rPr>
          <w:i/>
          <w:iCs/>
          <w:color w:val="595959"/>
          <w:sz w:val="19"/>
          <w:szCs w:val="19"/>
        </w:rPr>
        <w:t xml:space="preserve">Prepared for: Head of Supply Chain &amp; CFO</w:t>
      </w:r>
    </w:p>
    <w:p>
      <w:pPr>
        <w:spacing w:after="80"/>
      </w:pPr>
      <w:r>
        <w:rPr>
          <w:i/>
          <w:iCs/>
          <w:color w:val="595959"/>
          <w:sz w:val="19"/>
          <w:szCs w:val="19"/>
        </w:rPr>
        <w:t xml:space="preserve">Prepared by: Hrithika S.  |  Superstore Sales Analysis, 2015–2018</w:t>
      </w:r>
    </w:p>
    <w:p>
      <w:pPr>
        <w:pStyle w:val="Heading2"/>
        <w:spacing w:after="80" w:before="140"/>
      </w:pPr>
      <w:r>
        <w:rPr>
          <w:b/>
          <w:bCs/>
          <w:color w:val="1F4E79"/>
          <w:sz w:val="23"/>
          <w:szCs w:val="23"/>
        </w:rPr>
        <w:t xml:space="preserve">1. Executive Summary</w:t>
      </w:r>
    </w:p>
    <w:p>
      <w:pPr>
        <w:spacing w:after="80"/>
      </w:pPr>
      <w:r>
        <w:rPr>
          <w:sz w:val="19"/>
          <w:szCs w:val="19"/>
        </w:rPr>
        <w:t xml:space="preserve">Four years of order-level sales data were analyzed to answer one question: how much will we sell next month, and are we positioned to meet that demand? Sales are growing steadily year over year, with a strong and predictable holiday-season peak every November and December. A statistical forecasting model (SARIMA) was the most accurate of three models tested, and projects continued growth into the next quarter, led by the Technology category. Eleven unusual sales weeks were flagged for review, and products were grouped into four demand patterns to guide stocking decisions. Overall, the business is on a healthy growth trajectory, but forecast accuracy has real limits that should inform how tightly inventory is planned against these numbers.</w:t>
      </w:r>
    </w:p>
    <w:p>
      <w:pPr>
        <w:pStyle w:val="Heading2"/>
        <w:spacing w:after="80" w:before="140"/>
      </w:pPr>
      <w:r>
        <w:rPr>
          <w:b/>
          <w:bCs/>
          <w:color w:val="1F4E79"/>
          <w:sz w:val="23"/>
          <w:szCs w:val="23"/>
        </w:rPr>
        <w:t xml:space="preserve">2. Key Findings</w:t>
      </w:r>
    </w:p>
    <w:p>
      <w:pPr>
        <w:pStyle w:val="ListParagraph"/>
        <w:numPr>
          <w:ilvl w:val="0"/>
          <w:numId w:val="1"/>
        </w:numPr>
        <w:spacing w:after="40"/>
      </w:pPr>
      <w:r>
        <w:rPr>
          <w:sz w:val="19"/>
          <w:szCs w:val="19"/>
        </w:rPr>
        <w:t xml:space="preserve">Technology is the highest-revenue category overall, generating $827,456 in total sales across the period.</w:t>
      </w:r>
    </w:p>
    <w:p>
      <w:pPr>
        <w:pStyle w:val="ListParagraph"/>
        <w:numPr>
          <w:ilvl w:val="0"/>
          <w:numId w:val="1"/>
        </w:numPr>
        <w:spacing w:after="40"/>
      </w:pPr>
      <w:r>
        <w:rPr>
          <w:sz w:val="19"/>
          <w:szCs w:val="19"/>
        </w:rPr>
        <w:t xml:space="preserve">The East region shows the steadiest year-over-year growth — smaller swings from year to year than Central, South, or West, making it the most predictable region to plan around.</w:t>
      </w:r>
    </w:p>
    <w:p>
      <w:pPr>
        <w:pStyle w:val="ListParagraph"/>
        <w:numPr>
          <w:ilvl w:val="0"/>
          <w:numId w:val="1"/>
        </w:numPr>
        <w:spacing w:after="40"/>
      </w:pPr>
      <w:r>
        <w:rPr>
          <w:sz w:val="19"/>
          <w:szCs w:val="19"/>
        </w:rPr>
        <w:t xml:space="preserve">Sales are strongly seasonal: every year, sales dip in January–February and build to a peak in November–December, consistent with holiday shopping behavior.</w:t>
      </w:r>
    </w:p>
    <w:p>
      <w:pPr>
        <w:pStyle w:val="ListParagraph"/>
        <w:numPr>
          <w:ilvl w:val="0"/>
          <w:numId w:val="1"/>
        </w:numPr>
        <w:spacing w:after="40"/>
      </w:pPr>
      <w:r>
        <w:rPr>
          <w:sz w:val="19"/>
          <w:szCs w:val="19"/>
        </w:rPr>
        <w:t xml:space="preserve">The underlying month-to-month sales pattern is statistically stable (no runaway trend or widening swings), which means standard forecasting methods are appropriate here rather than requiring exotic techniques.</w:t>
      </w:r>
    </w:p>
    <w:p>
      <w:pPr>
        <w:pStyle w:val="Heading2"/>
        <w:spacing w:after="80" w:before="140"/>
      </w:pPr>
      <w:r>
        <w:rPr>
          <w:b/>
          <w:bCs/>
          <w:color w:val="1F4E79"/>
          <w:sz w:val="23"/>
          <w:szCs w:val="23"/>
        </w:rPr>
        <w:t xml:space="preserve">3. Three-Month Sales Forecast</w:t>
      </w:r>
    </w:p>
    <w:p>
      <w:pPr>
        <w:spacing w:after="80"/>
      </w:pPr>
      <w:r>
        <w:rPr>
          <w:sz w:val="19"/>
          <w:szCs w:val="19"/>
        </w:rPr>
        <w:t xml:space="preserve">Three forecasting approaches were built and tested against the three most recent actual months: a classical statistical model (SARIMA), an industry-standard tool built by Meta (Prophet), and a machine-learning model (XGBoost). SARIMA produced the closest match to actual results and is the recommended model for production planning.</w:t>
      </w:r>
    </w:p>
    <w:tbl>
      <w:tblPr>
        <w:tblW w:type="dxa" w:w="123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1900"/>
        <w:gridCol w:w="1900"/>
        <w:gridCol w:w="1900"/>
      </w:tblGrid>
      <w:tr>
        <w:tc>
          <w:tcPr>
            <w:tcW w:type="dxa" w:w="1800"/>
            <w:shd w:fill="1F4E79" w:val="clear"/>
            <w:tcMar>
              <w:top w:type="dxa" w:w="80"/>
              <w:left w:type="dxa" w:w="100"/>
              <w:bottom w:type="dxa" w:w="80"/>
              <w:right w:type="dxa" w:w="100"/>
            </w:tcMar>
            <w:vAlign w:val="center"/>
          </w:tcPr>
          <w:p>
            <w:r>
              <w:rPr>
                <w:b/>
                <w:bCs/>
                <w:color w:val="FFFFFF"/>
                <w:sz w:val="20"/>
                <w:szCs w:val="20"/>
              </w:rPr>
              <w:t xml:space="preserve">Model</w:t>
            </w:r>
          </w:p>
        </w:tc>
        <w:tc>
          <w:tcPr>
            <w:tcW w:type="dxa" w:w="1600"/>
            <w:shd w:fill="1F4E79" w:val="clear"/>
            <w:tcMar>
              <w:top w:type="dxa" w:w="80"/>
              <w:left w:type="dxa" w:w="100"/>
              <w:bottom w:type="dxa" w:w="80"/>
              <w:right w:type="dxa" w:w="100"/>
            </w:tcMar>
            <w:vAlign w:val="center"/>
          </w:tcPr>
          <w:p>
            <w:r>
              <w:rPr>
                <w:b/>
                <w:bCs/>
                <w:color w:val="FFFFFF"/>
                <w:sz w:val="20"/>
                <w:szCs w:val="20"/>
              </w:rPr>
              <w:t xml:space="preserve">MAE ($)</w:t>
            </w:r>
          </w:p>
        </w:tc>
        <w:tc>
          <w:tcPr>
            <w:tcW w:type="dxa" w:w="1600"/>
            <w:shd w:fill="1F4E79" w:val="clear"/>
            <w:tcMar>
              <w:top w:type="dxa" w:w="80"/>
              <w:left w:type="dxa" w:w="100"/>
              <w:bottom w:type="dxa" w:w="80"/>
              <w:right w:type="dxa" w:w="100"/>
            </w:tcMar>
            <w:vAlign w:val="center"/>
          </w:tcPr>
          <w:p>
            <w:r>
              <w:rPr>
                <w:b/>
                <w:bCs/>
                <w:color w:val="FFFFFF"/>
                <w:sz w:val="20"/>
                <w:szCs w:val="20"/>
              </w:rPr>
              <w:t xml:space="preserve">RMSE ($)</w:t>
            </w:r>
          </w:p>
        </w:tc>
        <w:tc>
          <w:tcPr>
            <w:tcW w:type="dxa" w:w="1600"/>
            <w:shd w:fill="1F4E79" w:val="clear"/>
            <w:tcMar>
              <w:top w:type="dxa" w:w="80"/>
              <w:left w:type="dxa" w:w="100"/>
              <w:bottom w:type="dxa" w:w="80"/>
              <w:right w:type="dxa" w:w="100"/>
            </w:tcMar>
            <w:vAlign w:val="center"/>
          </w:tcPr>
          <w:p>
            <w:r>
              <w:rPr>
                <w:b/>
                <w:bCs/>
                <w:color w:val="FFFFFF"/>
                <w:sz w:val="20"/>
                <w:szCs w:val="20"/>
              </w:rPr>
              <w:t xml:space="preserve">MAPE (%)</w:t>
            </w:r>
          </w:p>
        </w:tc>
        <w:tc>
          <w:tcPr>
            <w:tcW w:type="dxa" w:w="1900"/>
            <w:shd w:fill="1F4E79" w:val="clear"/>
            <w:tcMar>
              <w:top w:type="dxa" w:w="80"/>
              <w:left w:type="dxa" w:w="100"/>
              <w:bottom w:type="dxa" w:w="80"/>
              <w:right w:type="dxa" w:w="100"/>
            </w:tcMar>
            <w:vAlign w:val="center"/>
          </w:tcPr>
          <w:p>
            <w:r>
              <w:rPr>
                <w:b/>
                <w:bCs/>
                <w:color w:val="FFFFFF"/>
                <w:sz w:val="20"/>
                <w:szCs w:val="20"/>
              </w:rPr>
              <w:t xml:space="preserve">Fcst Month 1</w:t>
            </w:r>
          </w:p>
        </w:tc>
        <w:tc>
          <w:tcPr>
            <w:tcW w:type="dxa" w:w="1900"/>
            <w:shd w:fill="1F4E79" w:val="clear"/>
            <w:tcMar>
              <w:top w:type="dxa" w:w="80"/>
              <w:left w:type="dxa" w:w="100"/>
              <w:bottom w:type="dxa" w:w="80"/>
              <w:right w:type="dxa" w:w="100"/>
            </w:tcMar>
            <w:vAlign w:val="center"/>
          </w:tcPr>
          <w:p>
            <w:r>
              <w:rPr>
                <w:b/>
                <w:bCs/>
                <w:color w:val="FFFFFF"/>
                <w:sz w:val="20"/>
                <w:szCs w:val="20"/>
              </w:rPr>
              <w:t xml:space="preserve">Fcst Month 2</w:t>
            </w:r>
          </w:p>
        </w:tc>
        <w:tc>
          <w:tcPr>
            <w:tcW w:type="dxa" w:w="1900"/>
            <w:shd w:fill="1F4E79" w:val="clear"/>
            <w:tcMar>
              <w:top w:type="dxa" w:w="80"/>
              <w:left w:type="dxa" w:w="100"/>
              <w:bottom w:type="dxa" w:w="80"/>
              <w:right w:type="dxa" w:w="100"/>
            </w:tcMar>
            <w:vAlign w:val="center"/>
          </w:tcPr>
          <w:p>
            <w:r>
              <w:rPr>
                <w:b/>
                <w:bCs/>
                <w:color w:val="FFFFFF"/>
                <w:sz w:val="20"/>
                <w:szCs w:val="20"/>
              </w:rPr>
              <w:t xml:space="preserve">Fcst Month 3</w:t>
            </w:r>
          </w:p>
        </w:tc>
      </w:tr>
      <w:tr>
        <w:tc>
          <w:tcPr>
            <w:tcW w:type="dxa" w:w="1800"/>
            <w:shd w:fill="DCE6F1" w:val="clear"/>
            <w:tcMar>
              <w:top w:type="dxa" w:w="80"/>
              <w:left w:type="dxa" w:w="100"/>
              <w:bottom w:type="dxa" w:w="80"/>
              <w:right w:type="dxa" w:w="100"/>
            </w:tcMar>
            <w:vAlign w:val="center"/>
          </w:tcPr>
          <w:p>
            <w:r>
              <w:rPr>
                <w:b w:val="false"/>
                <w:bCs w:val="false"/>
                <w:color w:val="000000"/>
                <w:sz w:val="20"/>
                <w:szCs w:val="20"/>
              </w:rPr>
              <w:t xml:space="preserve">SARIMA (recommended)</w:t>
            </w:r>
          </w:p>
        </w:tc>
        <w:tc>
          <w:tcPr>
            <w:tcW w:type="dxa" w:w="1600"/>
            <w:tcMar>
              <w:top w:type="dxa" w:w="80"/>
              <w:left w:type="dxa" w:w="100"/>
              <w:bottom w:type="dxa" w:w="80"/>
              <w:right w:type="dxa" w:w="100"/>
            </w:tcMar>
            <w:vAlign w:val="center"/>
          </w:tcPr>
          <w:p>
            <w:r>
              <w:rPr>
                <w:b w:val="false"/>
                <w:bCs w:val="false"/>
                <w:color w:val="000000"/>
                <w:sz w:val="20"/>
                <w:szCs w:val="20"/>
              </w:rPr>
              <w:t xml:space="preserve">19,244</w:t>
            </w:r>
          </w:p>
        </w:tc>
        <w:tc>
          <w:tcPr>
            <w:tcW w:type="dxa" w:w="1600"/>
            <w:tcMar>
              <w:top w:type="dxa" w:w="80"/>
              <w:left w:type="dxa" w:w="100"/>
              <w:bottom w:type="dxa" w:w="80"/>
              <w:right w:type="dxa" w:w="100"/>
            </w:tcMar>
            <w:vAlign w:val="center"/>
          </w:tcPr>
          <w:p>
            <w:r>
              <w:rPr>
                <w:b w:val="false"/>
                <w:bCs w:val="false"/>
                <w:color w:val="000000"/>
                <w:sz w:val="20"/>
                <w:szCs w:val="20"/>
              </w:rPr>
              <w:t xml:space="preserve">19,950</w:t>
            </w:r>
          </w:p>
        </w:tc>
        <w:tc>
          <w:tcPr>
            <w:tcW w:type="dxa" w:w="1600"/>
            <w:tcMar>
              <w:top w:type="dxa" w:w="80"/>
              <w:left w:type="dxa" w:w="100"/>
              <w:bottom w:type="dxa" w:w="80"/>
              <w:right w:type="dxa" w:w="100"/>
            </w:tcMar>
            <w:vAlign w:val="center"/>
          </w:tcPr>
          <w:p>
            <w:r>
              <w:rPr>
                <w:b w:val="false"/>
                <w:bCs w:val="false"/>
                <w:color w:val="000000"/>
                <w:sz w:val="20"/>
                <w:szCs w:val="20"/>
              </w:rPr>
              <w:t xml:space="preserve">20.5%</w:t>
            </w:r>
          </w:p>
        </w:tc>
        <w:tc>
          <w:tcPr>
            <w:tcW w:type="dxa" w:w="1900"/>
            <w:tcMar>
              <w:top w:type="dxa" w:w="80"/>
              <w:left w:type="dxa" w:w="100"/>
              <w:bottom w:type="dxa" w:w="80"/>
              <w:right w:type="dxa" w:w="100"/>
            </w:tcMar>
            <w:vAlign w:val="center"/>
          </w:tcPr>
          <w:p>
            <w:r>
              <w:rPr>
                <w:b w:val="false"/>
                <w:bCs w:val="false"/>
                <w:color w:val="000000"/>
                <w:sz w:val="20"/>
                <w:szCs w:val="20"/>
              </w:rPr>
              <w:t xml:space="preserve">$60,332</w:t>
            </w:r>
          </w:p>
        </w:tc>
        <w:tc>
          <w:tcPr>
            <w:tcW w:type="dxa" w:w="1900"/>
            <w:tcMar>
              <w:top w:type="dxa" w:w="80"/>
              <w:left w:type="dxa" w:w="100"/>
              <w:bottom w:type="dxa" w:w="80"/>
              <w:right w:type="dxa" w:w="100"/>
            </w:tcMar>
            <w:vAlign w:val="center"/>
          </w:tcPr>
          <w:p>
            <w:r>
              <w:rPr>
                <w:b w:val="false"/>
                <w:bCs w:val="false"/>
                <w:color w:val="000000"/>
                <w:sz w:val="20"/>
                <w:szCs w:val="20"/>
              </w:rPr>
              <w:t xml:space="preserve">$91,458</w:t>
            </w:r>
          </w:p>
        </w:tc>
        <w:tc>
          <w:tcPr>
            <w:tcW w:type="dxa" w:w="1900"/>
            <w:tcMar>
              <w:top w:type="dxa" w:w="80"/>
              <w:left w:type="dxa" w:w="100"/>
              <w:bottom w:type="dxa" w:w="80"/>
              <w:right w:type="dxa" w:w="100"/>
            </w:tcMar>
            <w:vAlign w:val="center"/>
          </w:tcPr>
          <w:p>
            <w:r>
              <w:rPr>
                <w:b w:val="false"/>
                <w:bCs w:val="false"/>
                <w:color w:val="000000"/>
                <w:sz w:val="20"/>
                <w:szCs w:val="20"/>
              </w:rPr>
              <w:t xml:space="preserve">$97,168</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Prophet</w:t>
            </w:r>
          </w:p>
        </w:tc>
        <w:tc>
          <w:tcPr>
            <w:tcW w:type="dxa" w:w="1600"/>
            <w:tcMar>
              <w:top w:type="dxa" w:w="80"/>
              <w:left w:type="dxa" w:w="100"/>
              <w:bottom w:type="dxa" w:w="80"/>
              <w:right w:type="dxa" w:w="100"/>
            </w:tcMar>
            <w:vAlign w:val="center"/>
          </w:tcPr>
          <w:p>
            <w:r>
              <w:rPr>
                <w:b w:val="false"/>
                <w:bCs w:val="false"/>
                <w:color w:val="000000"/>
                <w:sz w:val="20"/>
                <w:szCs w:val="20"/>
              </w:rPr>
              <w:t xml:space="preserve">20,296</w:t>
            </w:r>
          </w:p>
        </w:tc>
        <w:tc>
          <w:tcPr>
            <w:tcW w:type="dxa" w:w="1600"/>
            <w:tcMar>
              <w:top w:type="dxa" w:w="80"/>
              <w:left w:type="dxa" w:w="100"/>
              <w:bottom w:type="dxa" w:w="80"/>
              <w:right w:type="dxa" w:w="100"/>
            </w:tcMar>
            <w:vAlign w:val="center"/>
          </w:tcPr>
          <w:p>
            <w:r>
              <w:rPr>
                <w:b w:val="false"/>
                <w:bCs w:val="false"/>
                <w:color w:val="000000"/>
                <w:sz w:val="20"/>
                <w:szCs w:val="20"/>
              </w:rPr>
              <w:t xml:space="preserve">22,487</w:t>
            </w:r>
          </w:p>
        </w:tc>
        <w:tc>
          <w:tcPr>
            <w:tcW w:type="dxa" w:w="1600"/>
            <w:tcMar>
              <w:top w:type="dxa" w:w="80"/>
              <w:left w:type="dxa" w:w="100"/>
              <w:bottom w:type="dxa" w:w="80"/>
              <w:right w:type="dxa" w:w="100"/>
            </w:tcMar>
            <w:vAlign w:val="center"/>
          </w:tcPr>
          <w:p>
            <w:r>
              <w:rPr>
                <w:b w:val="false"/>
                <w:bCs w:val="false"/>
                <w:color w:val="000000"/>
                <w:sz w:val="20"/>
                <w:szCs w:val="20"/>
              </w:rPr>
              <w:t xml:space="preserve">21.9%</w:t>
            </w:r>
          </w:p>
        </w:tc>
        <w:tc>
          <w:tcPr>
            <w:tcW w:type="dxa" w:w="1900"/>
            <w:tcMar>
              <w:top w:type="dxa" w:w="80"/>
              <w:left w:type="dxa" w:w="100"/>
              <w:bottom w:type="dxa" w:w="80"/>
              <w:right w:type="dxa" w:w="100"/>
            </w:tcMar>
            <w:vAlign w:val="center"/>
          </w:tcPr>
          <w:p>
            <w:r>
              <w:rPr>
                <w:b w:val="false"/>
                <w:bCs w:val="false"/>
                <w:color w:val="000000"/>
                <w:sz w:val="20"/>
                <w:szCs w:val="20"/>
              </w:rPr>
              <w:t xml:space="preserve">$51,084</w:t>
            </w:r>
          </w:p>
        </w:tc>
        <w:tc>
          <w:tcPr>
            <w:tcW w:type="dxa" w:w="1900"/>
            <w:tcMar>
              <w:top w:type="dxa" w:w="80"/>
              <w:left w:type="dxa" w:w="100"/>
              <w:bottom w:type="dxa" w:w="80"/>
              <w:right w:type="dxa" w:w="100"/>
            </w:tcMar>
            <w:vAlign w:val="center"/>
          </w:tcPr>
          <w:p>
            <w:r>
              <w:rPr>
                <w:b w:val="false"/>
                <w:bCs w:val="false"/>
                <w:color w:val="000000"/>
                <w:sz w:val="20"/>
                <w:szCs w:val="20"/>
              </w:rPr>
              <w:t xml:space="preserve">$90,045</w:t>
            </w:r>
          </w:p>
        </w:tc>
        <w:tc>
          <w:tcPr>
            <w:tcW w:type="dxa" w:w="1900"/>
            <w:tcMar>
              <w:top w:type="dxa" w:w="80"/>
              <w:left w:type="dxa" w:w="100"/>
              <w:bottom w:type="dxa" w:w="80"/>
              <w:right w:type="dxa" w:w="100"/>
            </w:tcMar>
            <w:vAlign w:val="center"/>
          </w:tcPr>
          <w:p>
            <w:r>
              <w:rPr>
                <w:b w:val="false"/>
                <w:bCs w:val="false"/>
                <w:color w:val="000000"/>
                <w:sz w:val="20"/>
                <w:szCs w:val="20"/>
              </w:rPr>
              <w:t xml:space="preserve">$89,661</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XGBoost</w:t>
            </w:r>
          </w:p>
        </w:tc>
        <w:tc>
          <w:tcPr>
            <w:tcW w:type="dxa" w:w="1600"/>
            <w:tcMar>
              <w:top w:type="dxa" w:w="80"/>
              <w:left w:type="dxa" w:w="100"/>
              <w:bottom w:type="dxa" w:w="80"/>
              <w:right w:type="dxa" w:w="100"/>
            </w:tcMar>
            <w:vAlign w:val="center"/>
          </w:tcPr>
          <w:p>
            <w:r>
              <w:rPr>
                <w:b w:val="false"/>
                <w:bCs w:val="false"/>
                <w:color w:val="000000"/>
                <w:sz w:val="20"/>
                <w:szCs w:val="20"/>
              </w:rPr>
              <w:t xml:space="preserve">19,462</w:t>
            </w:r>
          </w:p>
        </w:tc>
        <w:tc>
          <w:tcPr>
            <w:tcW w:type="dxa" w:w="1600"/>
            <w:tcMar>
              <w:top w:type="dxa" w:w="80"/>
              <w:left w:type="dxa" w:w="100"/>
              <w:bottom w:type="dxa" w:w="80"/>
              <w:right w:type="dxa" w:w="100"/>
            </w:tcMar>
            <w:vAlign w:val="center"/>
          </w:tcPr>
          <w:p>
            <w:r>
              <w:rPr>
                <w:b w:val="false"/>
                <w:bCs w:val="false"/>
                <w:color w:val="000000"/>
                <w:sz w:val="20"/>
                <w:szCs w:val="20"/>
              </w:rPr>
              <w:t xml:space="preserve">21,556</w:t>
            </w:r>
          </w:p>
        </w:tc>
        <w:tc>
          <w:tcPr>
            <w:tcW w:type="dxa" w:w="1600"/>
            <w:tcMar>
              <w:top w:type="dxa" w:w="80"/>
              <w:left w:type="dxa" w:w="100"/>
              <w:bottom w:type="dxa" w:w="80"/>
              <w:right w:type="dxa" w:w="100"/>
            </w:tcMar>
            <w:vAlign w:val="center"/>
          </w:tcPr>
          <w:p>
            <w:r>
              <w:rPr>
                <w:b w:val="false"/>
                <w:bCs w:val="false"/>
                <w:color w:val="000000"/>
                <w:sz w:val="20"/>
                <w:szCs w:val="20"/>
              </w:rPr>
              <w:t xml:space="preserve">20.0%</w:t>
            </w:r>
          </w:p>
        </w:tc>
        <w:tc>
          <w:tcPr>
            <w:tcW w:type="dxa" w:w="1900"/>
            <w:tcMar>
              <w:top w:type="dxa" w:w="80"/>
              <w:left w:type="dxa" w:w="100"/>
              <w:bottom w:type="dxa" w:w="80"/>
              <w:right w:type="dxa" w:w="100"/>
            </w:tcMar>
            <w:vAlign w:val="center"/>
          </w:tcPr>
          <w:p>
            <w:r>
              <w:rPr>
                <w:b w:val="false"/>
                <w:bCs w:val="false"/>
                <w:color w:val="000000"/>
                <w:sz w:val="20"/>
                <w:szCs w:val="20"/>
              </w:rPr>
              <w:t xml:space="preserve">$68,346</w:t>
            </w:r>
          </w:p>
        </w:tc>
        <w:tc>
          <w:tcPr>
            <w:tcW w:type="dxa" w:w="1900"/>
            <w:tcMar>
              <w:top w:type="dxa" w:w="80"/>
              <w:left w:type="dxa" w:w="100"/>
              <w:bottom w:type="dxa" w:w="80"/>
              <w:right w:type="dxa" w:w="100"/>
            </w:tcMar>
            <w:vAlign w:val="center"/>
          </w:tcPr>
          <w:p>
            <w:r>
              <w:rPr>
                <w:b w:val="false"/>
                <w:bCs w:val="false"/>
                <w:color w:val="000000"/>
                <w:sz w:val="20"/>
                <w:szCs w:val="20"/>
              </w:rPr>
              <w:t xml:space="preserve">$86,342</w:t>
            </w:r>
          </w:p>
        </w:tc>
        <w:tc>
          <w:tcPr>
            <w:tcW w:type="dxa" w:w="1900"/>
            <w:tcMar>
              <w:top w:type="dxa" w:w="80"/>
              <w:left w:type="dxa" w:w="100"/>
              <w:bottom w:type="dxa" w:w="80"/>
              <w:right w:type="dxa" w:w="100"/>
            </w:tcMar>
            <w:vAlign w:val="center"/>
          </w:tcPr>
          <w:p>
            <w:r>
              <w:rPr>
                <w:b w:val="false"/>
                <w:bCs w:val="false"/>
                <w:color w:val="000000"/>
                <w:sz w:val="20"/>
                <w:szCs w:val="20"/>
              </w:rPr>
              <w:t xml:space="preserve">$65,344</w:t>
            </w:r>
          </w:p>
        </w:tc>
      </w:tr>
    </w:tbl>
    <w:p>
      <w:pPr>
        <w:spacing w:after="80"/>
      </w:pPr>
      <w:r>
        <w:rPr>
          <w:sz w:val="19"/>
          <w:szCs w:val="19"/>
        </w:rPr>
        <w:t xml:space="preserve">In plain terms: next month's company-wide sales are projected at roughly $60,000, rising to around $91,000 the following month and $97,000 the month after, as the business moves toward its usual holiday-season ramp. These are point estimates — the model also produces a confidence range (shown in the notebook and dashboard) that widens the further out the forecast goes, which is normal and should be treated as the realistic planning range rather than the single number alone.</w:t>
      </w:r>
    </w:p>
    <w:p>
      <w:pPr>
        <w:spacing w:after="80"/>
      </w:pPr>
      <w:r>
        <w:rPr>
          <w:sz w:val="19"/>
          <w:szCs w:val="19"/>
        </w:rPr>
        <w:t xml:space="preserve">At the category and region level, Technology is projected to grow fastest into next quarter, while Furniture is projected to soften — a useful early signal for adjusting purchase orders now.</w:t>
      </w:r>
    </w:p>
    <w:p>
      <w:pPr>
        <w:pStyle w:val="Heading2"/>
        <w:spacing w:after="80" w:before="140"/>
      </w:pPr>
      <w:r>
        <w:rPr>
          <w:b/>
          <w:bCs/>
          <w:color w:val="1F4E79"/>
          <w:sz w:val="23"/>
          <w:szCs w:val="23"/>
        </w:rPr>
        <w:t xml:space="preserve">4. Top Anomalies Detected</w:t>
      </w:r>
    </w:p>
    <w:p>
      <w:pPr>
        <w:spacing w:after="80"/>
      </w:pPr>
      <w:r>
        <w:rPr>
          <w:sz w:val="19"/>
          <w:szCs w:val="19"/>
        </w:rPr>
        <w:t xml:space="preserve">An automated anomaly detector (Isolation Forest) flagged 11 unusual sales weeks out of four years of weekly data, cross-checked with a simpler statistical rule (z-score). The two methods agreed on the most extreme weeks and disagreed on softer ones — expected, since one is more sensitive than the other. The three largest flagged weeks were:</w:t>
      </w:r>
    </w:p>
    <w:p>
      <w:pPr>
        <w:pStyle w:val="ListParagraph"/>
        <w:numPr>
          <w:ilvl w:val="0"/>
          <w:numId w:val="1"/>
        </w:numPr>
        <w:spacing w:after="40"/>
      </w:pPr>
      <w:r>
        <w:rPr>
          <w:sz w:val="19"/>
          <w:szCs w:val="19"/>
        </w:rPr>
        <w:t xml:space="preserve">Week of Nov 18, 2018 — a sharp spike, consistent with pre-holiday promotional buying.</w:t>
      </w:r>
    </w:p>
    <w:p>
      <w:pPr>
        <w:pStyle w:val="ListParagraph"/>
        <w:numPr>
          <w:ilvl w:val="0"/>
          <w:numId w:val="1"/>
        </w:numPr>
        <w:spacing w:after="40"/>
      </w:pPr>
      <w:r>
        <w:rPr>
          <w:sz w:val="19"/>
          <w:szCs w:val="19"/>
        </w:rPr>
        <w:t xml:space="preserve">Week of Dec 2, 2018 — a second large spike, consistent with the holiday shopping peak.</w:t>
      </w:r>
    </w:p>
    <w:p>
      <w:pPr>
        <w:pStyle w:val="ListParagraph"/>
        <w:numPr>
          <w:ilvl w:val="0"/>
          <w:numId w:val="1"/>
        </w:numPr>
        <w:spacing w:after="40"/>
      </w:pPr>
      <w:r>
        <w:rPr>
          <w:sz w:val="19"/>
          <w:szCs w:val="19"/>
        </w:rPr>
        <w:t xml:space="preserve">Week of Mar 22, 2015 — an early, isolated spike most likely tied to a large one-off bulk order or a short regional promotion rather than a seasonal pattern.</w:t>
      </w:r>
    </w:p>
    <w:p>
      <w:pPr>
        <w:spacing w:after="80"/>
      </w:pPr>
      <w:r>
        <w:rPr>
          <w:sz w:val="19"/>
          <w:szCs w:val="19"/>
        </w:rPr>
        <w:t xml:space="preserve">Recommendation: treat the two holiday-season spikes as expected and plan stock for them every year; investigate the March 2015 spike with sales/ops to confirm whether it was a one-off order worth replicating or a data entry issue.</w:t>
      </w:r>
    </w:p>
    <w:p>
      <w:pPr>
        <w:pStyle w:val="Heading2"/>
        <w:spacing w:after="80" w:before="140"/>
      </w:pPr>
      <w:r>
        <w:rPr>
          <w:b/>
          <w:bCs/>
          <w:color w:val="1F4E79"/>
          <w:sz w:val="23"/>
          <w:szCs w:val="23"/>
        </w:rPr>
        <w:t xml:space="preserve">5. Product Demand Segmentation</w:t>
      </w:r>
    </w:p>
    <w:p>
      <w:pPr>
        <w:spacing w:after="80"/>
      </w:pPr>
      <w:r>
        <w:rPr>
          <w:sz w:val="19"/>
          <w:szCs w:val="19"/>
        </w:rPr>
        <w:t xml:space="preserve">Product sub-categories were grouped into demand clusters using their sales volume, year-over-year growth, and volatility. This turns 17 different sub-categories into a handful of clear stocking policies instead of one-size-fits-all planning:</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200"/>
        <w:gridCol w:w="3200"/>
      </w:tblGrid>
      <w:tr>
        <w:tc>
          <w:tcPr>
            <w:tcW w:type="dxa" w:w="3200"/>
            <w:shd w:fill="1F4E79" w:val="clear"/>
            <w:tcMar>
              <w:top w:type="dxa" w:w="80"/>
              <w:left w:type="dxa" w:w="100"/>
              <w:bottom w:type="dxa" w:w="80"/>
              <w:right w:type="dxa" w:w="100"/>
            </w:tcMar>
            <w:vAlign w:val="center"/>
          </w:tcPr>
          <w:p>
            <w:r>
              <w:rPr>
                <w:b/>
                <w:bCs/>
                <w:color w:val="FFFFFF"/>
                <w:sz w:val="20"/>
                <w:szCs w:val="20"/>
              </w:rPr>
              <w:t xml:space="preserve">Cluster</w:t>
            </w:r>
          </w:p>
        </w:tc>
        <w:tc>
          <w:tcPr>
            <w:tcW w:type="dxa" w:w="2400"/>
            <w:shd w:fill="1F4E79" w:val="clear"/>
            <w:tcMar>
              <w:top w:type="dxa" w:w="80"/>
              <w:left w:type="dxa" w:w="100"/>
              <w:bottom w:type="dxa" w:w="80"/>
              <w:right w:type="dxa" w:w="100"/>
            </w:tcMar>
            <w:vAlign w:val="center"/>
          </w:tcPr>
          <w:p>
            <w:r>
              <w:rPr>
                <w:b/>
                <w:bCs/>
                <w:color w:val="FFFFFF"/>
                <w:sz w:val="20"/>
                <w:szCs w:val="20"/>
              </w:rPr>
              <w:t xml:space="preserve">Example Sub-Categories</w:t>
            </w:r>
          </w:p>
        </w:tc>
        <w:tc>
          <w:tcPr>
            <w:tcW w:type="dxa" w:w="3200"/>
            <w:shd w:fill="1F4E79" w:val="clear"/>
            <w:tcMar>
              <w:top w:type="dxa" w:w="80"/>
              <w:left w:type="dxa" w:w="100"/>
              <w:bottom w:type="dxa" w:w="80"/>
              <w:right w:type="dxa" w:w="100"/>
            </w:tcMar>
            <w:vAlign w:val="center"/>
          </w:tcPr>
          <w:p>
            <w:r>
              <w:rPr>
                <w:b/>
                <w:bCs/>
                <w:color w:val="FFFFFF"/>
                <w:sz w:val="20"/>
                <w:szCs w:val="20"/>
              </w:rPr>
              <w:t xml:space="preserve">Revenue Profile</w:t>
            </w:r>
          </w:p>
        </w:tc>
        <w:tc>
          <w:tcPr>
            <w:tcW w:type="dxa" w:w="3200"/>
            <w:shd w:fill="1F4E79" w:val="clear"/>
            <w:tcMar>
              <w:top w:type="dxa" w:w="80"/>
              <w:left w:type="dxa" w:w="100"/>
              <w:bottom w:type="dxa" w:w="80"/>
              <w:right w:type="dxa" w:w="100"/>
            </w:tcMar>
            <w:vAlign w:val="center"/>
          </w:tcPr>
          <w:p>
            <w:r>
              <w:rPr>
                <w:b/>
                <w:bCs/>
                <w:color w:val="FFFFFF"/>
                <w:sz w:val="20"/>
                <w:szCs w:val="20"/>
              </w:rPr>
              <w:t xml:space="preserve">Stocking Strategy</w:t>
            </w:r>
          </w:p>
        </w:tc>
      </w:tr>
      <w:tr>
        <w:tc>
          <w:tcPr>
            <w:tcW w:type="dxa" w:w="3200"/>
            <w:shd w:fill="DCE6F1" w:val="clear"/>
            <w:tcMar>
              <w:top w:type="dxa" w:w="80"/>
              <w:left w:type="dxa" w:w="100"/>
              <w:bottom w:type="dxa" w:w="80"/>
              <w:right w:type="dxa" w:w="100"/>
            </w:tcMar>
            <w:vAlign w:val="center"/>
          </w:tcPr>
          <w:p>
            <w:r>
              <w:rPr>
                <w:b w:val="false"/>
                <w:bCs w:val="false"/>
                <w:color w:val="000000"/>
                <w:sz w:val="20"/>
                <w:szCs w:val="20"/>
              </w:rPr>
              <w:t xml:space="preserve">Growing Demand</w:t>
            </w:r>
          </w:p>
        </w:tc>
        <w:tc>
          <w:tcPr>
            <w:tcW w:type="dxa" w:w="2400"/>
            <w:shd w:fill="DCE6F1" w:val="clear"/>
            <w:tcMar>
              <w:top w:type="dxa" w:w="80"/>
              <w:left w:type="dxa" w:w="100"/>
              <w:bottom w:type="dxa" w:w="80"/>
              <w:right w:type="dxa" w:w="100"/>
            </w:tcMar>
            <w:vAlign w:val="center"/>
          </w:tcPr>
          <w:p>
            <w:r>
              <w:rPr>
                <w:b w:val="false"/>
                <w:bCs w:val="false"/>
                <w:color w:val="000000"/>
                <w:sz w:val="20"/>
                <w:szCs w:val="20"/>
              </w:rPr>
              <w:t xml:space="preserve">Copiers, Machines, Supplies</w:t>
            </w:r>
          </w:p>
        </w:tc>
        <w:tc>
          <w:tcPr>
            <w:tcW w:type="dxa" w:w="3200"/>
            <w:shd w:fill="DCE6F1" w:val="clear"/>
            <w:tcMar>
              <w:top w:type="dxa" w:w="80"/>
              <w:left w:type="dxa" w:w="100"/>
              <w:bottom w:type="dxa" w:w="80"/>
              <w:right w:type="dxa" w:w="100"/>
            </w:tcMar>
            <w:vAlign w:val="center"/>
          </w:tcPr>
          <w:p>
            <w:r>
              <w:rPr>
                <w:b w:val="false"/>
                <w:bCs w:val="false"/>
                <w:color w:val="000000"/>
                <w:sz w:val="20"/>
                <w:szCs w:val="20"/>
              </w:rPr>
              <w:t xml:space="preserve">Mid-to-high, rising YoY</w:t>
            </w:r>
          </w:p>
        </w:tc>
        <w:tc>
          <w:tcPr>
            <w:tcW w:type="dxa" w:w="3200"/>
            <w:shd w:fill="DCE6F1" w:val="clear"/>
            <w:tcMar>
              <w:top w:type="dxa" w:w="80"/>
              <w:left w:type="dxa" w:w="100"/>
              <w:bottom w:type="dxa" w:w="80"/>
              <w:right w:type="dxa" w:w="100"/>
            </w:tcMar>
            <w:vAlign w:val="center"/>
          </w:tcPr>
          <w:p>
            <w:r>
              <w:rPr>
                <w:b w:val="false"/>
                <w:bCs w:val="false"/>
                <w:color w:val="000000"/>
                <w:sz w:val="20"/>
                <w:szCs w:val="20"/>
              </w:rPr>
              <w:t xml:space="preserve">Increase buffers ahead of season; shorten supplier lead times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Low Volume / High Volatility</w:t>
            </w:r>
          </w:p>
        </w:tc>
        <w:tc>
          <w:tcPr>
            <w:tcW w:type="dxa" w:w="2400"/>
            <w:tcMar>
              <w:top w:type="dxa" w:w="80"/>
              <w:left w:type="dxa" w:w="100"/>
              <w:bottom w:type="dxa" w:w="80"/>
              <w:right w:type="dxa" w:w="100"/>
            </w:tcMar>
            <w:vAlign w:val="center"/>
          </w:tcPr>
          <w:p>
            <w:r>
              <w:rPr>
                <w:b w:val="false"/>
                <w:bCs w:val="false"/>
                <w:color w:val="000000"/>
                <w:sz w:val="20"/>
                <w:szCs w:val="20"/>
              </w:rPr>
              <w:t xml:space="preserve">Most sub-categories (Chairs, Binders, Phones, Tables, etc.)</w:t>
            </w:r>
          </w:p>
        </w:tc>
        <w:tc>
          <w:tcPr>
            <w:tcW w:type="dxa" w:w="3200"/>
            <w:tcMar>
              <w:top w:type="dxa" w:w="80"/>
              <w:left w:type="dxa" w:w="100"/>
              <w:bottom w:type="dxa" w:w="80"/>
              <w:right w:type="dxa" w:w="100"/>
            </w:tcMar>
            <w:vAlign w:val="center"/>
          </w:tcPr>
          <w:p>
            <w:r>
              <w:rPr>
                <w:b w:val="false"/>
                <w:bCs w:val="false"/>
                <w:color w:val="000000"/>
                <w:sz w:val="20"/>
                <w:szCs w:val="20"/>
              </w:rPr>
              <w:t xml:space="preserve">Wide swings month to month</w:t>
            </w:r>
          </w:p>
        </w:tc>
        <w:tc>
          <w:tcPr>
            <w:tcW w:type="dxa" w:w="3200"/>
            <w:tcMar>
              <w:top w:type="dxa" w:w="80"/>
              <w:left w:type="dxa" w:w="100"/>
              <w:bottom w:type="dxa" w:w="80"/>
              <w:right w:type="dxa" w:w="100"/>
            </w:tcMar>
            <w:vAlign w:val="center"/>
          </w:tcPr>
          <w:p>
            <w:r>
              <w:rPr>
                <w:b w:val="false"/>
                <w:bCs w:val="false"/>
                <w:color w:val="000000"/>
                <w:sz w:val="20"/>
                <w:szCs w:val="20"/>
              </w:rPr>
              <w:t xml:space="preserve">Smaller, more frequent orders; wider safety stock</w:t>
            </w:r>
          </w:p>
        </w:tc>
      </w:tr>
      <w:tr>
        <w:tc>
          <w:tcPr>
            <w:tcW w:type="dxa" w:w="3200"/>
            <w:shd w:fill="DCE6F1" w:val="clear"/>
            <w:tcMar>
              <w:top w:type="dxa" w:w="80"/>
              <w:left w:type="dxa" w:w="100"/>
              <w:bottom w:type="dxa" w:w="80"/>
              <w:right w:type="dxa" w:w="100"/>
            </w:tcMar>
            <w:vAlign w:val="center"/>
          </w:tcPr>
          <w:p>
            <w:r>
              <w:rPr>
                <w:b w:val="false"/>
                <w:bCs w:val="false"/>
                <w:color w:val="000000"/>
                <w:sz w:val="20"/>
                <w:szCs w:val="20"/>
              </w:rPr>
              <w:t xml:space="preserve">High Volume, Stable Demand</w:t>
            </w:r>
          </w:p>
        </w:tc>
        <w:tc>
          <w:tcPr>
            <w:tcW w:type="dxa" w:w="2400"/>
            <w:shd w:fill="DCE6F1" w:val="clear"/>
            <w:tcMar>
              <w:top w:type="dxa" w:w="80"/>
              <w:left w:type="dxa" w:w="100"/>
              <w:bottom w:type="dxa" w:w="80"/>
              <w:right w:type="dxa" w:w="100"/>
            </w:tcMar>
            <w:vAlign w:val="center"/>
          </w:tcPr>
          <w:p>
            <w:r>
              <w:rPr>
                <w:b w:val="false"/>
                <w:bCs w:val="false"/>
                <w:color w:val="000000"/>
                <w:sz w:val="20"/>
                <w:szCs w:val="20"/>
              </w:rPr>
              <w:t xml:space="preserve">(when present) steady, low-volatility lines</w:t>
            </w:r>
          </w:p>
        </w:tc>
        <w:tc>
          <w:tcPr>
            <w:tcW w:type="dxa" w:w="3200"/>
            <w:shd w:fill="DCE6F1" w:val="clear"/>
            <w:tcMar>
              <w:top w:type="dxa" w:w="80"/>
              <w:left w:type="dxa" w:w="100"/>
              <w:bottom w:type="dxa" w:w="80"/>
              <w:right w:type="dxa" w:w="100"/>
            </w:tcMar>
            <w:vAlign w:val="center"/>
          </w:tcPr>
          <w:p>
            <w:r>
              <w:rPr>
                <w:b w:val="false"/>
                <w:bCs w:val="false"/>
                <w:color w:val="000000"/>
                <w:sz w:val="20"/>
                <w:szCs w:val="20"/>
              </w:rPr>
              <w:t xml:space="preserve">High revenue, low swings</w:t>
            </w:r>
          </w:p>
        </w:tc>
        <w:tc>
          <w:tcPr>
            <w:tcW w:type="dxa" w:w="3200"/>
            <w:shd w:fill="DCE6F1" w:val="clear"/>
            <w:tcMar>
              <w:top w:type="dxa" w:w="80"/>
              <w:left w:type="dxa" w:w="100"/>
              <w:bottom w:type="dxa" w:w="80"/>
              <w:right w:type="dxa" w:w="100"/>
            </w:tcMar>
            <w:vAlign w:val="center"/>
          </w:tcPr>
          <w:p>
            <w:r>
              <w:rPr>
                <w:b w:val="false"/>
                <w:bCs w:val="false"/>
                <w:color w:val="000000"/>
                <w:sz w:val="20"/>
                <w:szCs w:val="20"/>
              </w:rPr>
              <w:t xml:space="preserve">Simple reorder-point replenishment</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Declining Demand</w:t>
            </w:r>
          </w:p>
        </w:tc>
        <w:tc>
          <w:tcPr>
            <w:tcW w:type="dxa" w:w="2400"/>
            <w:tcMar>
              <w:top w:type="dxa" w:w="80"/>
              <w:left w:type="dxa" w:w="100"/>
              <w:bottom w:type="dxa" w:w="80"/>
              <w:right w:type="dxa" w:w="100"/>
            </w:tcMar>
            <w:vAlign w:val="center"/>
          </w:tcPr>
          <w:p>
            <w:r>
              <w:rPr>
                <w:b w:val="false"/>
                <w:bCs w:val="false"/>
                <w:color w:val="000000"/>
                <w:sz w:val="20"/>
                <w:szCs w:val="20"/>
              </w:rPr>
              <w:t xml:space="preserve">Sub-categories with negative YoY growth (e.g. Envelopes)</w:t>
            </w:r>
          </w:p>
        </w:tc>
        <w:tc>
          <w:tcPr>
            <w:tcW w:type="dxa" w:w="3200"/>
            <w:tcMar>
              <w:top w:type="dxa" w:w="80"/>
              <w:left w:type="dxa" w:w="100"/>
              <w:bottom w:type="dxa" w:w="80"/>
              <w:right w:type="dxa" w:w="100"/>
            </w:tcMar>
            <w:vAlign w:val="center"/>
          </w:tcPr>
          <w:p>
            <w:r>
              <w:rPr>
                <w:b w:val="false"/>
                <w:bCs w:val="false"/>
                <w:color w:val="000000"/>
                <w:sz w:val="20"/>
                <w:szCs w:val="20"/>
              </w:rPr>
              <w:t xml:space="preserve">Flat-to-shrinking</w:t>
            </w:r>
          </w:p>
        </w:tc>
        <w:tc>
          <w:tcPr>
            <w:tcW w:type="dxa" w:w="3200"/>
            <w:tcMar>
              <w:top w:type="dxa" w:w="80"/>
              <w:left w:type="dxa" w:w="100"/>
              <w:bottom w:type="dxa" w:w="80"/>
              <w:right w:type="dxa" w:w="100"/>
            </w:tcMar>
            <w:vAlign w:val="center"/>
          </w:tcPr>
          <w:p>
            <w:r>
              <w:rPr>
                <w:b w:val="false"/>
                <w:bCs w:val="false"/>
                <w:color w:val="000000"/>
                <w:sz w:val="20"/>
                <w:szCs w:val="20"/>
              </w:rPr>
              <w:t xml:space="preserve">Reduce commitments; clearance to free capital</w:t>
            </w:r>
          </w:p>
        </w:tc>
      </w:tr>
    </w:tbl>
    <w:p>
      <w:pPr>
        <w:pStyle w:val="Heading2"/>
        <w:spacing w:after="80" w:before="140"/>
      </w:pPr>
      <w:r>
        <w:rPr>
          <w:b/>
          <w:bCs/>
          <w:color w:val="1F4E79"/>
          <w:sz w:val="23"/>
          <w:szCs w:val="23"/>
        </w:rPr>
        <w:t xml:space="preserve">6. Business Recommendations</w:t>
      </w:r>
    </w:p>
    <w:p>
      <w:pPr>
        <w:pStyle w:val="ListParagraph"/>
        <w:numPr>
          <w:ilvl w:val="0"/>
          <w:numId w:val="1"/>
        </w:numPr>
        <w:spacing w:after="40"/>
      </w:pPr>
      <w:r>
        <w:rPr>
          <w:sz w:val="19"/>
          <w:szCs w:val="19"/>
        </w:rPr>
        <w:t xml:space="preserve">1. Shift purchase orders toward Technology ahead of the next quarter — it is both the top revenue category today and the fastest-growing in the forecast, so under-ordering here carries the highest opportunity cost.</w:t>
      </w:r>
    </w:p>
    <w:p>
      <w:pPr>
        <w:pStyle w:val="ListParagraph"/>
        <w:numPr>
          <w:ilvl w:val="0"/>
          <w:numId w:val="1"/>
        </w:numPr>
        <w:spacing w:after="40"/>
      </w:pPr>
      <w:r>
        <w:rPr>
          <w:sz w:val="19"/>
          <w:szCs w:val="19"/>
        </w:rPr>
        <w:t xml:space="preserve">2. Build inventory buffers in October for the November–December peak, sized against this year's SARIMA forecast range rather than last year's raw numbers, since the model already accounts for the underlying growth trend.</w:t>
      </w:r>
    </w:p>
    <w:p>
      <w:pPr>
        <w:pStyle w:val="ListParagraph"/>
        <w:numPr>
          <w:ilvl w:val="0"/>
          <w:numId w:val="1"/>
        </w:numPr>
        <w:spacing w:after="40"/>
      </w:pPr>
      <w:r>
        <w:rPr>
          <w:sz w:val="19"/>
          <w:szCs w:val="19"/>
        </w:rPr>
        <w:t xml:space="preserve">3. Apply a lighter-touch, higher-frequency replenishment policy to the 'Low Volume / High Volatility' cluster (most sub-categories) instead of large infrequent orders — this reduces the capital tied up in inventory that is hard to forecast precisely.</w:t>
      </w:r>
    </w:p>
    <w:p>
      <w:pPr>
        <w:pStyle w:val="Heading2"/>
        <w:spacing w:after="80" w:before="140"/>
      </w:pPr>
      <w:r>
        <w:rPr>
          <w:b/>
          <w:bCs/>
          <w:color w:val="1F4E79"/>
          <w:sz w:val="23"/>
          <w:szCs w:val="23"/>
        </w:rPr>
        <w:t xml:space="preserve">7. Risk &amp; Limitation</w:t>
      </w:r>
    </w:p>
    <w:p>
      <w:pPr>
        <w:spacing w:after="80"/>
      </w:pPr>
      <w:r>
        <w:rPr>
          <w:sz w:val="19"/>
          <w:szCs w:val="19"/>
        </w:rPr>
        <w:t xml:space="preserve">This system forecasts based on 4 years of historical patterns; it cannot anticipate one-off shocks — a new competitor, a supply chain disruption, or a macroeconomic shift — and its accuracy naturally degrades the further into the future it projects (visible in the widening confidence range). It should inform planning, not replace judgment, and forecasts should be refreshed monthly as new actual data comes 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2026-07-06T23:41:08.235Z</dcterms:created>
  <dcterms:modified xsi:type="dcterms:W3CDTF">2026-07-06T23:41:08.235Z</dcterms:modified>
</cp:coreProperties>
</file>

<file path=docProps/custom.xml><?xml version="1.0" encoding="utf-8"?>
<Properties xmlns="http://schemas.openxmlformats.org/officeDocument/2006/custom-properties" xmlns:vt="http://schemas.openxmlformats.org/officeDocument/2006/docPropsVTypes"/>
</file>