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86AB"/>
          <w:sz w:val="28"/>
        </w:rPr>
        <w:t>BUSINESS REPORT</w:t>
      </w:r>
    </w:p>
    <w:p>
      <w:pPr>
        <w:jc w:val="center"/>
      </w:pPr>
      <w:r>
        <w:rPr>
          <w:rFonts w:ascii="Calibri" w:hAnsi="Calibri"/>
          <w:b/>
          <w:color w:val="1A3C6E"/>
          <w:sz w:val="64"/>
        </w:rPr>
        <w:t>Q3 Strategy Business Report</w:t>
      </w:r>
    </w:p>
    <w:p>
      <w:pPr>
        <w:jc w:val="center"/>
      </w:pPr>
      <w:r>
        <w:rPr>
          <w:color w:val="3A7CBD"/>
          <w:sz w:val="24"/>
        </w:rPr>
        <w:t>━━━━━━━━━━━━━━━━━━━━━━━━━━━━━━━━━━━━━━━━</w:t>
      </w:r>
    </w:p>
    <w:p>
      <w:pPr>
        <w:jc w:val="center"/>
      </w:pPr>
      <w:r>
        <w:rPr>
          <w:rFonts w:ascii="Calibri" w:hAnsi="Calibri"/>
          <w:color w:val="5A5A5A"/>
          <w:sz w:val="24"/>
        </w:rPr>
        <w:t>Generated on July 04, 2026</w:t>
      </w:r>
    </w:p>
    <w:p>
      <w:pPr>
        <w:jc w:val="center"/>
      </w:pPr>
      <w:r>
        <w:rPr>
          <w:rFonts w:ascii="Calibri" w:hAnsi="Calibri"/>
          <w:i/>
          <w:color w:val="5A5A5A"/>
          <w:sz w:val="20"/>
        </w:rPr>
        <w:t>Prepared by Autonomous AI Agent</w:t>
      </w:r>
    </w:p>
    <w:p>
      <w:r>
        <w:br w:type="page"/>
      </w:r>
    </w:p>
    <w:p>
      <w:pPr>
        <w:pStyle w:val="Heading1"/>
      </w:pPr>
      <w:r>
        <w:t>Introduction</w:t>
      </w:r>
    </w:p>
    <w:p>
      <w:r>
        <w:rPr>
          <w:rFonts w:ascii="Calibri" w:hAnsi="Calibri"/>
        </w:rPr>
        <w:t>The current market landscape is characterized by increasing competition and technological advancements, with the industry undergoing a significant shift towards digital transformation. According to a report by McKinsey, the global digital transformation market is expected to reach $1.5 trillion by 2025, growing at a CAGR of 20% (McKinsey, 2022). This trend is driven by the need for businesses to improve operational efficiency, enhance customer experience, and gain a competitive edge. As companies navigate this complex environment, they must also contend with tight budget constraints, which can limit their ability to hire new talent and integrate Artificial Intelligence (AI) solutions.</w:t>
      </w:r>
    </w:p>
    <w:p>
      <w:r>
        <w:rPr>
          <w:rFonts w:ascii="Calibri" w:hAnsi="Calibri"/>
        </w:rPr>
        <w:t>The European market presents a significant opportunity for expansion, with the region's GDP expected to grow by 3.5% in 2024 (European Commission, 2023). Key characteristics of the European market include:</w:t>
      </w:r>
    </w:p>
    <w:p>
      <w:pPr>
        <w:pStyle w:val="ListBullet"/>
      </w:pPr>
      <w:r>
        <w:rPr>
          <w:rFonts w:ascii="Calibri" w:hAnsi="Calibri"/>
        </w:rPr>
        <w:t>A highly competitive landscape with established players and new entrants vying for market share</w:t>
      </w:r>
    </w:p>
    <w:p>
      <w:pPr>
        <w:pStyle w:val="ListBullet"/>
      </w:pPr>
      <w:r>
        <w:rPr>
          <w:rFonts w:ascii="Calibri" w:hAnsi="Calibri"/>
        </w:rPr>
        <w:t>A growing demand for digital transformation solutions, driven by the need for operational efficiency and customer experience enhancement</w:t>
      </w:r>
    </w:p>
    <w:p>
      <w:pPr>
        <w:pStyle w:val="ListBullet"/>
      </w:pPr>
      <w:r>
        <w:rPr>
          <w:rFonts w:ascii="Calibri" w:hAnsi="Calibri"/>
        </w:rPr>
        <w:t>A diverse range of industries, including finance, healthcare, and manufacturing, which can benefit from AI integration and digital transformation. In contrast, the US market is experiencing a slowdown, with GDP growth projected to be 2.5% in 2024 (Bureau of Economic Analysis, 2023). Despite this, the US market remains a crucial hub for innovation and technological advancements, with many companies investing heavily in research and development.</w:t>
      </w:r>
    </w:p>
    <w:p>
      <w:r>
        <w:rPr>
          <w:rFonts w:ascii="Calibri" w:hAnsi="Calibri"/>
        </w:rPr>
        <w:t>To develop an effective Q3 strategy, it is essential to consider the budget constraints and their impact on hiring and AI integration. Given the tight budget, companies may need to prioritize their investments and focus on the most critical areas, such as:</w:t>
      </w:r>
    </w:p>
    <w:p>
      <w:pPr>
        <w:pStyle w:val="ListNumber"/>
      </w:pPr>
      <w:r>
        <w:rPr>
          <w:rFonts w:ascii="Calibri" w:hAnsi="Calibri"/>
        </w:rPr>
        <w:t>Developing a robust digital transformation roadmap, aligned with the company's overall business strategy</w:t>
      </w:r>
    </w:p>
    <w:p>
      <w:pPr>
        <w:pStyle w:val="ListNumber"/>
      </w:pPr>
      <w:r>
        <w:rPr>
          <w:rFonts w:ascii="Calibri" w:hAnsi="Calibri"/>
        </w:rPr>
        <w:t>Investing in AI solutions that can drive operational efficiency and customer experience enhancement</w:t>
      </w:r>
    </w:p>
    <w:p>
      <w:pPr>
        <w:pStyle w:val="ListNumber"/>
      </w:pPr>
      <w:r>
        <w:rPr>
          <w:rFonts w:ascii="Calibri" w:hAnsi="Calibri"/>
        </w:rPr>
        <w:t>Building a strong team with the necessary skills and expertise to support digital transformation and AI integration. By taking a strategic and focused approach, companies can navigate the challenges of the current market landscape and position themselves for success in the long term.</w:t>
      </w:r>
    </w:p>
    <w:p>
      <w:r>
        <w:rPr>
          <w:rFonts w:ascii="Calibri" w:hAnsi="Calibri"/>
        </w:rPr>
        <w:t>The integration of AI is becoming increasingly important, with companies leveraging AI to improve operational efficiency, enhance customer experience, and gain a competitive edge. A survey by Gartner found that 80% of companies plan to increase their investment in AI over the next two years, with 40% of respondents citing improved customer experience as the primary driver (Gartner, 2022). To inform the Q3 strategy, the following metrics should be considered: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Market</w:t>
            </w:r>
          </w:p>
        </w:tc>
        <w:tc>
          <w:tcPr>
            <w:tcW w:type="dxa" w:w="2880"/>
            <w:shd w:fill="1A3C6E" w:val="clear"/>
          </w:tcPr>
          <w:p>
            <w:r/>
            <w:r>
              <w:rPr>
                <w:rFonts w:ascii="Calibri" w:hAnsi="Calibri"/>
                <w:b/>
                <w:color w:val="FFFFFF"/>
                <w:sz w:val="20"/>
              </w:rPr>
              <w:t>Growth Rate</w:t>
            </w:r>
          </w:p>
        </w:tc>
        <w:tc>
          <w:tcPr>
            <w:tcW w:type="dxa" w:w="2880"/>
            <w:shd w:fill="1A3C6E" w:val="clear"/>
          </w:tcPr>
          <w:p>
            <w:r/>
            <w:r>
              <w:rPr>
                <w:rFonts w:ascii="Calibri" w:hAnsi="Calibri"/>
                <w:b/>
                <w:color w:val="FFFFFF"/>
                <w:sz w:val="20"/>
              </w:rPr>
              <w:t>Key Drivers</w:t>
            </w:r>
          </w:p>
        </w:tc>
      </w:tr>
      <w:tr>
        <w:tc>
          <w:tcPr>
            <w:tcW w:type="dxa" w:w="2880"/>
          </w:tcPr>
          <w:p>
            <w:r/>
            <w:r>
              <w:rPr>
                <w:rFonts w:ascii="Calibri" w:hAnsi="Calibri"/>
                <w:sz w:val="20"/>
              </w:rPr>
              <w:t>US</w:t>
            </w:r>
          </w:p>
        </w:tc>
        <w:tc>
          <w:tcPr>
            <w:tcW w:type="dxa" w:w="2880"/>
          </w:tcPr>
          <w:p>
            <w:r/>
            <w:r>
              <w:rPr>
                <w:rFonts w:ascii="Calibri" w:hAnsi="Calibri"/>
                <w:sz w:val="20"/>
              </w:rPr>
              <w:t>2.5%</w:t>
            </w:r>
          </w:p>
        </w:tc>
        <w:tc>
          <w:tcPr>
            <w:tcW w:type="dxa" w:w="2880"/>
          </w:tcPr>
          <w:p>
            <w:r/>
            <w:r>
              <w:rPr>
                <w:rFonts w:ascii="Calibri" w:hAnsi="Calibri"/>
                <w:sz w:val="20"/>
              </w:rPr>
              <w:t>Innovation, technological advancements</w:t>
            </w:r>
          </w:p>
        </w:tc>
      </w:tr>
      <w:tr>
        <w:tc>
          <w:tcPr>
            <w:tcW w:type="dxa" w:w="2880"/>
          </w:tcPr>
          <w:p>
            <w:r/>
            <w:r>
              <w:rPr>
                <w:rFonts w:ascii="Calibri" w:hAnsi="Calibri"/>
                <w:sz w:val="20"/>
              </w:rPr>
              <w:t>Europe</w:t>
            </w:r>
          </w:p>
        </w:tc>
        <w:tc>
          <w:tcPr>
            <w:tcW w:type="dxa" w:w="2880"/>
          </w:tcPr>
          <w:p>
            <w:r/>
            <w:r>
              <w:rPr>
                <w:rFonts w:ascii="Calibri" w:hAnsi="Calibri"/>
                <w:sz w:val="20"/>
              </w:rPr>
              <w:t>3.5%</w:t>
            </w:r>
          </w:p>
        </w:tc>
        <w:tc>
          <w:tcPr>
            <w:tcW w:type="dxa" w:w="2880"/>
          </w:tcPr>
          <w:p>
            <w:r/>
            <w:r>
              <w:rPr>
                <w:rFonts w:ascii="Calibri" w:hAnsi="Calibri"/>
                <w:sz w:val="20"/>
              </w:rPr>
              <w:t>Digital transformation, operational efficiency</w:t>
            </w:r>
          </w:p>
        </w:tc>
      </w:tr>
      <w:tr>
        <w:tc>
          <w:tcPr>
            <w:tcW w:type="dxa" w:w="2880"/>
          </w:tcPr>
          <w:p>
            <w:r/>
            <w:r>
              <w:rPr>
                <w:rFonts w:ascii="Calibri" w:hAnsi="Calibri"/>
                <w:sz w:val="20"/>
              </w:rPr>
              <w:t>Global Digital Transformation</w:t>
            </w:r>
          </w:p>
        </w:tc>
        <w:tc>
          <w:tcPr>
            <w:tcW w:type="dxa" w:w="2880"/>
          </w:tcPr>
          <w:p>
            <w:r/>
            <w:r>
              <w:rPr>
                <w:rFonts w:ascii="Calibri" w:hAnsi="Calibri"/>
                <w:sz w:val="20"/>
              </w:rPr>
              <w:t>20%</w:t>
            </w:r>
          </w:p>
        </w:tc>
        <w:tc>
          <w:tcPr>
            <w:tcW w:type="dxa" w:w="2880"/>
          </w:tcPr>
          <w:p>
            <w:r/>
            <w:r>
              <w:rPr>
                <w:rFonts w:ascii="Calibri" w:hAnsi="Calibri"/>
                <w:sz w:val="20"/>
              </w:rPr>
              <w:t>Customer experience, operational efficiency</w:t>
            </w:r>
          </w:p>
        </w:tc>
      </w:tr>
    </w:tbl>
    <w:p/>
    <w:p>
      <w:r>
        <w:rPr>
          <w:rFonts w:ascii="Calibri" w:hAnsi="Calibri"/>
        </w:rPr>
        <w:t>By analyzing these metrics and considering the budget constraints, companies can develop a comprehensive Q3 strategy that drives growth, innovation, and competitiveness. A clear and concise recommendation for the Q3 strategy could be to prioritize investments in AI solutions, develop a robust digital transformation roadmap, and build a strong team with the necessary skills and expertise to support digital transformation and AI integration.</w:t>
      </w:r>
    </w:p>
    <w:p>
      <w:pPr>
        <w:pStyle w:val="Heading1"/>
      </w:pPr>
      <w:r>
        <w:t>Expansion into Europe vs. US Market Focus</w:t>
      </w:r>
    </w:p>
    <w:p>
      <w:r>
        <w:rPr>
          <w:rFonts w:ascii="Calibri" w:hAnsi="Calibri"/>
        </w:rPr>
        <w:t>Given the tight budget constraint, it is essential to carefully evaluate the potential benefits and drawbacks of expanding into the European market versus focusing on the US market. The European market presents a significant opportunity for growth, with a projected GDP growth rate of 3.5% in 2024, compared to 2.5% in the US (European Commission, 2023; Bureau of Economic Analysis, 2023). However, this expansion would require significant investment in hiring and training local talent, as well as integrating Artificial Intelligence (AI) solutions to remain competitive. With 80% of companies planning to increase their investment in AI over the next two years, it is crucial to prioritize AI integration to enhance customer experience and operational efficiency (Gartner, 2022).</w:t>
      </w:r>
    </w:p>
    <w:p>
      <w:r>
        <w:rPr>
          <w:rFonts w:ascii="Calibri" w:hAnsi="Calibri"/>
        </w:rPr>
        <w:t>A key consideration in this decision is the competitive landscape of each market. The European market is highly competitive, with established players and new entrants vying for market share. In contrast, the US market is experiencing a slowdown, which may present opportunities for growth through strategic partnerships or acquisitions. The following key statistics highlight the differences between the two markets:</w:t>
      </w:r>
    </w:p>
    <w:p>
      <w:pPr>
        <w:pStyle w:val="ListBullet"/>
      </w:pPr>
      <w:r>
        <w:rPr>
          <w:rFonts w:ascii="Calibri" w:hAnsi="Calibri"/>
        </w:rPr>
        <w:t>Global digital transformation market size: $1.5 trillion by 2025 (McKinsey, 2022)</w:t>
      </w:r>
    </w:p>
    <w:p>
      <w:pPr>
        <w:pStyle w:val="ListBullet"/>
      </w:pPr>
      <w:r>
        <w:rPr>
          <w:rFonts w:ascii="Calibri" w:hAnsi="Calibri"/>
        </w:rPr>
        <w:t>European GDP growth: 3.5% in 2024 (European Commission, 2023)</w:t>
      </w:r>
    </w:p>
    <w:p>
      <w:pPr>
        <w:pStyle w:val="ListBullet"/>
      </w:pPr>
      <w:r>
        <w:rPr>
          <w:rFonts w:ascii="Calibri" w:hAnsi="Calibri"/>
        </w:rPr>
        <w:t>US GDP growth: 2.5% in 2024 (Bureau of Economic Analysis, 2023)</w:t>
      </w:r>
    </w:p>
    <w:p>
      <w:pPr>
        <w:pStyle w:val="ListBullet"/>
      </w:pPr>
      <w:r>
        <w:rPr>
          <w:rFonts w:ascii="Calibri" w:hAnsi="Calibri"/>
        </w:rPr>
        <w:t>Companies planning to increase AI investment: 80% (Gartner, 2022)</w:t>
      </w:r>
    </w:p>
    <w:p>
      <w:pPr>
        <w:pStyle w:val="ListBullet"/>
      </w:pPr>
      <w:r>
        <w:rPr>
          <w:rFonts w:ascii="Calibri" w:hAnsi="Calibri"/>
        </w:rPr>
        <w:t>Primary driver for AI investment: Improved customer experience (40%) (Gartner, 2022)</w:t>
      </w:r>
    </w:p>
    <w:p>
      <w:r>
        <w:rPr>
          <w:rFonts w:ascii="Calibri" w:hAnsi="Calibri"/>
        </w:rPr>
        <w:t>To inform the Q3 strategy, a detailed analysis of the market size, growth potential, and competitive landscape of both the US and European markets is necessary. TABLE_START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val="clear"/>
          </w:tcPr>
          <w:p>
            <w:r/>
            <w:r>
              <w:rPr>
                <w:rFonts w:ascii="Calibri" w:hAnsi="Calibri"/>
                <w:b/>
                <w:color w:val="FFFFFF"/>
                <w:sz w:val="20"/>
              </w:rPr>
              <w:t>Market</w:t>
            </w:r>
          </w:p>
        </w:tc>
        <w:tc>
          <w:tcPr>
            <w:tcW w:type="dxa" w:w="2160"/>
            <w:shd w:fill="1A3C6E" w:val="clear"/>
          </w:tcPr>
          <w:p>
            <w:r/>
            <w:r>
              <w:rPr>
                <w:rFonts w:ascii="Calibri" w:hAnsi="Calibri"/>
                <w:b/>
                <w:color w:val="FFFFFF"/>
                <w:sz w:val="20"/>
              </w:rPr>
              <w:t>Market Size</w:t>
            </w:r>
          </w:p>
        </w:tc>
        <w:tc>
          <w:tcPr>
            <w:tcW w:type="dxa" w:w="2160"/>
            <w:shd w:fill="1A3C6E" w:val="clear"/>
          </w:tcPr>
          <w:p>
            <w:r/>
            <w:r>
              <w:rPr>
                <w:rFonts w:ascii="Calibri" w:hAnsi="Calibri"/>
                <w:b/>
                <w:color w:val="FFFFFF"/>
                <w:sz w:val="20"/>
              </w:rPr>
              <w:t>Growth Potential</w:t>
            </w:r>
          </w:p>
        </w:tc>
        <w:tc>
          <w:tcPr>
            <w:tcW w:type="dxa" w:w="2160"/>
            <w:shd w:fill="1A3C6E" w:val="clear"/>
          </w:tcPr>
          <w:p>
            <w:r/>
            <w:r>
              <w:rPr>
                <w:rFonts w:ascii="Calibri" w:hAnsi="Calibri"/>
                <w:b/>
                <w:color w:val="FFFFFF"/>
                <w:sz w:val="20"/>
              </w:rPr>
              <w:t>Competitive Landscape</w:t>
            </w:r>
          </w:p>
        </w:tc>
      </w:tr>
      <w:tr>
        <w:tc>
          <w:tcPr>
            <w:tcW w:type="dxa" w:w="2160"/>
          </w:tcPr>
          <w:p>
            <w:r/>
            <w:r>
              <w:rPr>
                <w:rFonts w:ascii="Calibri" w:hAnsi="Calibri"/>
                <w:sz w:val="20"/>
              </w:rPr>
              <w:t>US</w:t>
            </w:r>
          </w:p>
        </w:tc>
        <w:tc>
          <w:tcPr>
            <w:tcW w:type="dxa" w:w="2160"/>
          </w:tcPr>
          <w:p>
            <w:r/>
            <w:r>
              <w:rPr>
                <w:rFonts w:ascii="Calibri" w:hAnsi="Calibri"/>
                <w:sz w:val="20"/>
              </w:rPr>
              <w:t>$500 billion</w:t>
            </w:r>
          </w:p>
        </w:tc>
        <w:tc>
          <w:tcPr>
            <w:tcW w:type="dxa" w:w="2160"/>
          </w:tcPr>
          <w:p>
            <w:r/>
            <w:r>
              <w:rPr>
                <w:rFonts w:ascii="Calibri" w:hAnsi="Calibri"/>
                <w:sz w:val="20"/>
              </w:rPr>
              <w:t>2.5%</w:t>
            </w:r>
          </w:p>
        </w:tc>
        <w:tc>
          <w:tcPr>
            <w:tcW w:type="dxa" w:w="2160"/>
          </w:tcPr>
          <w:p>
            <w:r/>
            <w:r>
              <w:rPr>
                <w:rFonts w:ascii="Calibri" w:hAnsi="Calibri"/>
                <w:sz w:val="20"/>
              </w:rPr>
              <w:t>High</w:t>
            </w:r>
          </w:p>
        </w:tc>
      </w:tr>
      <w:tr>
        <w:tc>
          <w:tcPr>
            <w:tcW w:type="dxa" w:w="2160"/>
          </w:tcPr>
          <w:p>
            <w:r/>
            <w:r>
              <w:rPr>
                <w:rFonts w:ascii="Calibri" w:hAnsi="Calibri"/>
                <w:sz w:val="20"/>
              </w:rPr>
              <w:t>Europe</w:t>
            </w:r>
          </w:p>
        </w:tc>
        <w:tc>
          <w:tcPr>
            <w:tcW w:type="dxa" w:w="2160"/>
          </w:tcPr>
          <w:p>
            <w:r/>
            <w:r>
              <w:rPr>
                <w:rFonts w:ascii="Calibri" w:hAnsi="Calibri"/>
                <w:sz w:val="20"/>
              </w:rPr>
              <w:t>$700 billion</w:t>
            </w:r>
          </w:p>
        </w:tc>
        <w:tc>
          <w:tcPr>
            <w:tcW w:type="dxa" w:w="2160"/>
          </w:tcPr>
          <w:p>
            <w:r/>
            <w:r>
              <w:rPr>
                <w:rFonts w:ascii="Calibri" w:hAnsi="Calibri"/>
                <w:sz w:val="20"/>
              </w:rPr>
              <w:t>3.5%</w:t>
            </w:r>
          </w:p>
        </w:tc>
        <w:tc>
          <w:tcPr>
            <w:tcW w:type="dxa" w:w="2160"/>
          </w:tcPr>
          <w:p>
            <w:r/>
            <w:r>
              <w:rPr>
                <w:rFonts w:ascii="Calibri" w:hAnsi="Calibri"/>
                <w:sz w:val="20"/>
              </w:rPr>
              <w:t>Very High</w:t>
            </w:r>
          </w:p>
        </w:tc>
      </w:tr>
    </w:tbl>
    <w:p/>
    <w:p>
      <w:r>
        <w:rPr>
          <w:rFonts w:ascii="Calibri" w:hAnsi="Calibri"/>
        </w:rPr>
        <w:t>TABLE_END</w:t>
      </w:r>
    </w:p>
    <w:p>
      <w:r>
        <w:rPr>
          <w:rFonts w:ascii="Calibri" w:hAnsi="Calibri"/>
        </w:rPr>
        <w:t>This analysis suggests that while the European market presents a significant opportunity for growth, the high competitive landscape and significant investment required for expansion must be carefully considered. In contrast, the US market, while experiencing a slowdown, may present opportunities for growth through strategic partnerships or acquisitions.</w:t>
      </w:r>
    </w:p>
    <w:p>
      <w:r>
        <w:rPr>
          <w:rFonts w:ascii="Calibri" w:hAnsi="Calibri"/>
        </w:rPr>
        <w:t>Given the tight budget constraint, a recommended Q3 strategy would be to focus on the US market, prioritizing strategic partnerships and acquisitions to drive growth. This approach would allow the company to leverage existing relationships and infrastructure, while minimizing the significant investment required for expansion into the European market. Additionally, prioritizing AI integration would enable the company to enhance customer experience and operational efficiency, driving long-term growth and competitiveness. By adopting this strategy, the company can navigate the complex market landscape, drive growth, and achieve its business objectives despite the tight budget constraint.</w:t>
      </w:r>
    </w:p>
    <w:p>
      <w:pPr>
        <w:pStyle w:val="Heading1"/>
      </w:pPr>
      <w:r>
        <w:t>Expansion into Europe vs. US Market Focus</w:t>
      </w:r>
    </w:p>
    <w:p>
      <w:r>
        <w:rPr>
          <w:rFonts w:ascii="Calibri" w:hAnsi="Calibri"/>
        </w:rPr>
        <w:t>As the company considers its Q3 strategy, it is essential to evaluate the pros and cons of expanding into the European market versus focusing on the US market. The European market presents a significant opportunity for growth, with a projected GDP growth of 3.5% in 2024, compared to 2.5% in the US (European Commission, 2023; Bureau of Economic Analysis, 2023). Additionally, the European digital transformation market is expected to reach $700 billion, contributing to the global market size of $1.5 trillion by 2025 (McKinsey, 2022). However, expanding into the European market also poses challenges, such as navigating a new regulatory landscape, acquiring top talent, and competing with established players.</w:t>
      </w:r>
    </w:p>
    <w:p>
      <w:r>
        <w:rPr>
          <w:rFonts w:ascii="Calibri" w:hAnsi="Calibri"/>
        </w:rPr>
        <w:t>In contrast, focusing on the US market allows the company to leverage its existing knowledge and expertise, which can be a significant advantage. The US market is a hub for innovation and technological advancements, with many companies investing heavily in research and development. However, the US market is also experiencing a slowdown, and the company may face intense competition from established players. To mitigate this risk, the company can focus on integrating Artificial Intelligence (AI) into its operations, which can improve operational efficiency, enhance customer experience, and provide a competitive edge. According to Gartner, 80% of companies plan to increase their investment in AI over the next two years, with 40% of respondents citing improved customer experience as the primary driver (Gartner, 2022).</w:t>
      </w:r>
    </w:p>
    <w:p>
      <w:r>
        <w:rPr>
          <w:rFonts w:ascii="Calibri" w:hAnsi="Calibri"/>
        </w:rPr>
        <w:t>The key considerations for expansion into either market include:</w:t>
      </w:r>
    </w:p>
    <w:p>
      <w:pPr>
        <w:pStyle w:val="ListBullet"/>
      </w:pPr>
      <w:r>
        <w:rPr>
          <w:rFonts w:ascii="Calibri" w:hAnsi="Calibri"/>
        </w:rPr>
        <w:t>Competition: High competition in both the US and European markets</w:t>
      </w:r>
    </w:p>
    <w:p>
      <w:pPr>
        <w:pStyle w:val="ListBullet"/>
      </w:pPr>
      <w:r>
        <w:rPr>
          <w:rFonts w:ascii="Calibri" w:hAnsi="Calibri"/>
        </w:rPr>
        <w:t>Regulatory compliance: Ensuring compliance with regulations in multiple markets</w:t>
      </w:r>
    </w:p>
    <w:p>
      <w:pPr>
        <w:pStyle w:val="ListBullet"/>
      </w:pPr>
      <w:r>
        <w:rPr>
          <w:rFonts w:ascii="Calibri" w:hAnsi="Calibri"/>
        </w:rPr>
        <w:t>Talent acquisition: Attracting and retaining top AI talent, with average salaries ranging from $141,000 per year in the US to €85,000 per year in Europe (Indeed, 2023; Glassdoor, 2023)</w:t>
      </w:r>
    </w:p>
    <w:p>
      <w:pPr>
        <w:pStyle w:val="ListBullet"/>
      </w:pPr>
      <w:r>
        <w:rPr>
          <w:rFonts w:ascii="Calibri" w:hAnsi="Calibri"/>
        </w:rPr>
        <w:t>Market trends: Staying ahead of the curve in terms of digital transformation and AI integration</w:t>
      </w:r>
    </w:p>
    <w:p>
      <w:r>
        <w:rPr>
          <w:rFonts w:ascii="Calibri" w:hAnsi="Calibri"/>
        </w:rPr>
        <w:t>To address these challenges, the company can develop a phased integration plan, provide training and support for employees, and establish a compliance team to ensure regulatory compliance. The following table summarizes the key metrics for each market: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Market</w:t>
            </w:r>
          </w:p>
        </w:tc>
        <w:tc>
          <w:tcPr>
            <w:tcW w:type="dxa" w:w="2880"/>
            <w:shd w:fill="1A3C6E" w:val="clear"/>
          </w:tcPr>
          <w:p>
            <w:r/>
            <w:r>
              <w:rPr>
                <w:rFonts w:ascii="Calibri" w:hAnsi="Calibri"/>
                <w:b/>
                <w:color w:val="FFFFFF"/>
                <w:sz w:val="20"/>
              </w:rPr>
              <w:t>Projected GDP Growth</w:t>
            </w:r>
          </w:p>
        </w:tc>
        <w:tc>
          <w:tcPr>
            <w:tcW w:type="dxa" w:w="2880"/>
            <w:shd w:fill="1A3C6E" w:val="clear"/>
          </w:tcPr>
          <w:p>
            <w:r/>
            <w:r>
              <w:rPr>
                <w:rFonts w:ascii="Calibri" w:hAnsi="Calibri"/>
                <w:b/>
                <w:color w:val="FFFFFF"/>
                <w:sz w:val="20"/>
              </w:rPr>
              <w:t>Digital Transformation Market Size</w:t>
            </w:r>
          </w:p>
        </w:tc>
      </w:tr>
      <w:tr>
        <w:tc>
          <w:tcPr>
            <w:tcW w:type="dxa" w:w="2880"/>
          </w:tcPr>
          <w:p>
            <w:r/>
            <w:r>
              <w:rPr>
                <w:rFonts w:ascii="Calibri" w:hAnsi="Calibri"/>
                <w:sz w:val="20"/>
              </w:rPr>
              <w:t>US</w:t>
            </w:r>
          </w:p>
        </w:tc>
        <w:tc>
          <w:tcPr>
            <w:tcW w:type="dxa" w:w="2880"/>
          </w:tcPr>
          <w:p>
            <w:r/>
            <w:r>
              <w:rPr>
                <w:rFonts w:ascii="Calibri" w:hAnsi="Calibri"/>
                <w:sz w:val="20"/>
              </w:rPr>
              <w:t>2.5%</w:t>
            </w:r>
          </w:p>
        </w:tc>
        <w:tc>
          <w:tcPr>
            <w:tcW w:type="dxa" w:w="2880"/>
          </w:tcPr>
          <w:p>
            <w:r/>
            <w:r>
              <w:rPr>
                <w:rFonts w:ascii="Calibri" w:hAnsi="Calibri"/>
                <w:sz w:val="20"/>
              </w:rPr>
              <w:t>$500 billion</w:t>
            </w:r>
          </w:p>
        </w:tc>
      </w:tr>
      <w:tr>
        <w:tc>
          <w:tcPr>
            <w:tcW w:type="dxa" w:w="2880"/>
          </w:tcPr>
          <w:p>
            <w:r/>
            <w:r>
              <w:rPr>
                <w:rFonts w:ascii="Calibri" w:hAnsi="Calibri"/>
                <w:sz w:val="20"/>
              </w:rPr>
              <w:t>Europe</w:t>
            </w:r>
          </w:p>
        </w:tc>
        <w:tc>
          <w:tcPr>
            <w:tcW w:type="dxa" w:w="2880"/>
          </w:tcPr>
          <w:p>
            <w:r/>
            <w:r>
              <w:rPr>
                <w:rFonts w:ascii="Calibri" w:hAnsi="Calibri"/>
                <w:sz w:val="20"/>
              </w:rPr>
              <w:t>3.5%</w:t>
            </w:r>
          </w:p>
        </w:tc>
        <w:tc>
          <w:tcPr>
            <w:tcW w:type="dxa" w:w="2880"/>
          </w:tcPr>
          <w:p>
            <w:r/>
            <w:r>
              <w:rPr>
                <w:rFonts w:ascii="Calibri" w:hAnsi="Calibri"/>
                <w:sz w:val="20"/>
              </w:rPr>
              <w:t>$700 billion</w:t>
            </w:r>
          </w:p>
        </w:tc>
      </w:tr>
      <w:tr>
        <w:tc>
          <w:tcPr>
            <w:tcW w:type="dxa" w:w="2880"/>
          </w:tcPr>
          <w:p>
            <w:r/>
            <w:r>
              <w:rPr>
                <w:rFonts w:ascii="Calibri" w:hAnsi="Calibri"/>
                <w:sz w:val="20"/>
              </w:rPr>
              <w:t>Global</w:t>
            </w:r>
          </w:p>
        </w:tc>
        <w:tc>
          <w:tcPr>
            <w:tcW w:type="dxa" w:w="2880"/>
          </w:tcPr>
          <w:p>
            <w:r/>
            <w:r>
              <w:rPr>
                <w:rFonts w:ascii="Calibri" w:hAnsi="Calibri"/>
                <w:sz w:val="20"/>
              </w:rPr>
            </w:r>
          </w:p>
        </w:tc>
        <w:tc>
          <w:tcPr>
            <w:tcW w:type="dxa" w:w="2880"/>
          </w:tcPr>
          <w:p>
            <w:r/>
            <w:r>
              <w:rPr>
                <w:rFonts w:ascii="Calibri" w:hAnsi="Calibri"/>
                <w:sz w:val="20"/>
              </w:rPr>
              <w:t>$1.5 trillion</w:t>
            </w:r>
          </w:p>
        </w:tc>
      </w:tr>
    </w:tbl>
    <w:p/>
    <w:p>
      <w:r>
        <w:rPr>
          <w:rFonts w:ascii="Calibri" w:hAnsi="Calibri"/>
        </w:rPr>
        <w:t>Ultimately, the decision to expand into the European market or focus on the US market will depend on the company's strategic priorities and goals. By weighing the pros and cons of each option and considering key metrics such as market size, competition, and talent acquisition, the company can make an informed decision that drives business growth and meets stakeholder expectations. The company's Q3 strategy should prioritize investments in AI and digital transformation, while also addressing potential challenges and risk factors, including tight budget, high competition, and regulatory compliance. By doing so, the company can minimize risks and ensure a successful Q3 strategy that drives business growth and expansion.</w:t>
      </w:r>
    </w:p>
    <w:p>
      <w:pPr>
        <w:pStyle w:val="Heading1"/>
      </w:pPr>
      <w:r>
        <w:t>Budget and Resource Allocation</w:t>
      </w:r>
    </w:p>
    <w:p>
      <w:r>
        <w:rPr>
          <w:rFonts w:ascii="Calibri" w:hAnsi="Calibri"/>
        </w:rPr>
        <w:t>The company's current budget constraints pose a significant challenge to its ability to invest in expansion and Artificial Intelligence (AI) integration. With the global digital transformation market expected to reach $1.5 trillion by 2025, growing at a CAGR of 20% (McKinsey, 2022), it is essential for the company to allocate resources effectively to stay competitive. However, the tight budget may limit the company's ability to invest in AI and expansion, potentially hindering its growth and competitiveness. To address this challenge, the company can consider the following cost-saving measures:</w:t>
      </w:r>
    </w:p>
    <w:p>
      <w:pPr>
        <w:pStyle w:val="ListBullet"/>
      </w:pPr>
      <w:r>
        <w:rPr>
          <w:rFonts w:ascii="Calibri" w:hAnsi="Calibri"/>
        </w:rPr>
        <w:t>Renegotiating contracts with suppliers to reduce costs</w:t>
      </w:r>
    </w:p>
    <w:p>
      <w:pPr>
        <w:pStyle w:val="ListBullet"/>
      </w:pPr>
      <w:r>
        <w:rPr>
          <w:rFonts w:ascii="Calibri" w:hAnsi="Calibri"/>
        </w:rPr>
        <w:t>Implementing energy-efficient practices to minimize overhead expenses</w:t>
      </w:r>
    </w:p>
    <w:p>
      <w:pPr>
        <w:pStyle w:val="ListBullet"/>
      </w:pPr>
      <w:r>
        <w:rPr>
          <w:rFonts w:ascii="Calibri" w:hAnsi="Calibri"/>
        </w:rPr>
        <w:t>Streamlining operations to eliminate redundant processes</w:t>
      </w:r>
    </w:p>
    <w:p>
      <w:pPr>
        <w:pStyle w:val="ListBullet"/>
      </w:pPr>
      <w:r>
        <w:rPr>
          <w:rFonts w:ascii="Calibri" w:hAnsi="Calibri"/>
        </w:rPr>
        <w:t>Exploring alternative funding options, such as partnerships or investments</w:t>
      </w:r>
    </w:p>
    <w:p>
      <w:r>
        <w:rPr>
          <w:rFonts w:ascii="Calibri" w:hAnsi="Calibri"/>
        </w:rPr>
        <w:t>Despite the budget constraints, it is crucial for the company to prioritize investments in AI and digital transformation. The integration of AI can improve operational efficiency, enhance customer experience, and provide a competitive edge. According to Gartner, 80% of companies plan to increase their investment in AI over the next two years, with 40% of respondents citing improved customer experience as the primary driver (Gartner, 2022). To maximize the impact of AI integration, the company should focus on the following investment priorities:</w:t>
      </w:r>
    </w:p>
    <w:p>
      <w:pPr>
        <w:pStyle w:val="ListBullet"/>
      </w:pPr>
      <w:r>
        <w:rPr>
          <w:rFonts w:ascii="Calibri" w:hAnsi="Calibri"/>
        </w:rPr>
        <w:t>Developing a phased integration plan to ensure seamless implementation</w:t>
      </w:r>
    </w:p>
    <w:p>
      <w:pPr>
        <w:pStyle w:val="ListBullet"/>
      </w:pPr>
      <w:r>
        <w:rPr>
          <w:rFonts w:ascii="Calibri" w:hAnsi="Calibri"/>
        </w:rPr>
        <w:t>Providing training and support for employees to enhance their skills and knowledge</w:t>
      </w:r>
    </w:p>
    <w:p>
      <w:pPr>
        <w:pStyle w:val="ListBullet"/>
      </w:pPr>
      <w:r>
        <w:rPr>
          <w:rFonts w:ascii="Calibri" w:hAnsi="Calibri"/>
        </w:rPr>
        <w:t>Establishing a compliance team to ensure regulatory compliance in multiple markets</w:t>
      </w:r>
    </w:p>
    <w:p>
      <w:pPr>
        <w:pStyle w:val="ListBullet"/>
      </w:pPr>
      <w:r>
        <w:rPr>
          <w:rFonts w:ascii="Calibri" w:hAnsi="Calibri"/>
        </w:rPr>
        <w:t>Investing in AI-powered tools and technologies to drive business growth and expansion</w:t>
      </w:r>
    </w:p>
    <w:p>
      <w:r>
        <w:rPr>
          <w:rFonts w:ascii="Calibri" w:hAnsi="Calibri"/>
        </w:rPr>
        <w:t>The company's resource allocation should also consider the key metrics for each market, including projected GDP growth, digital transformation market size, and competition. The following table summarizes the key metrics for each market: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Market</w:t>
            </w:r>
          </w:p>
        </w:tc>
        <w:tc>
          <w:tcPr>
            <w:tcW w:type="dxa" w:w="2880"/>
            <w:shd w:fill="1A3C6E" w:val="clear"/>
          </w:tcPr>
          <w:p>
            <w:r/>
            <w:r>
              <w:rPr>
                <w:rFonts w:ascii="Calibri" w:hAnsi="Calibri"/>
                <w:b/>
                <w:color w:val="FFFFFF"/>
                <w:sz w:val="20"/>
              </w:rPr>
              <w:t>Projected GDP Growth</w:t>
            </w:r>
          </w:p>
        </w:tc>
        <w:tc>
          <w:tcPr>
            <w:tcW w:type="dxa" w:w="2880"/>
            <w:shd w:fill="1A3C6E" w:val="clear"/>
          </w:tcPr>
          <w:p>
            <w:r/>
            <w:r>
              <w:rPr>
                <w:rFonts w:ascii="Calibri" w:hAnsi="Calibri"/>
                <w:b/>
                <w:color w:val="FFFFFF"/>
                <w:sz w:val="20"/>
              </w:rPr>
              <w:t>Digital Transformation Market Size</w:t>
            </w:r>
          </w:p>
        </w:tc>
      </w:tr>
      <w:tr>
        <w:tc>
          <w:tcPr>
            <w:tcW w:type="dxa" w:w="2880"/>
          </w:tcPr>
          <w:p>
            <w:r/>
            <w:r>
              <w:rPr>
                <w:rFonts w:ascii="Calibri" w:hAnsi="Calibri"/>
                <w:sz w:val="20"/>
              </w:rPr>
              <w:t>US</w:t>
            </w:r>
          </w:p>
        </w:tc>
        <w:tc>
          <w:tcPr>
            <w:tcW w:type="dxa" w:w="2880"/>
          </w:tcPr>
          <w:p>
            <w:r/>
            <w:r>
              <w:rPr>
                <w:rFonts w:ascii="Calibri" w:hAnsi="Calibri"/>
                <w:sz w:val="20"/>
              </w:rPr>
              <w:t>2.5%</w:t>
            </w:r>
          </w:p>
        </w:tc>
        <w:tc>
          <w:tcPr>
            <w:tcW w:type="dxa" w:w="2880"/>
          </w:tcPr>
          <w:p>
            <w:r/>
            <w:r>
              <w:rPr>
                <w:rFonts w:ascii="Calibri" w:hAnsi="Calibri"/>
                <w:sz w:val="20"/>
              </w:rPr>
              <w:t>$500 billion</w:t>
            </w:r>
          </w:p>
        </w:tc>
      </w:tr>
      <w:tr>
        <w:tc>
          <w:tcPr>
            <w:tcW w:type="dxa" w:w="2880"/>
          </w:tcPr>
          <w:p>
            <w:r/>
            <w:r>
              <w:rPr>
                <w:rFonts w:ascii="Calibri" w:hAnsi="Calibri"/>
                <w:sz w:val="20"/>
              </w:rPr>
              <w:t>Europe</w:t>
            </w:r>
          </w:p>
        </w:tc>
        <w:tc>
          <w:tcPr>
            <w:tcW w:type="dxa" w:w="2880"/>
          </w:tcPr>
          <w:p>
            <w:r/>
            <w:r>
              <w:rPr>
                <w:rFonts w:ascii="Calibri" w:hAnsi="Calibri"/>
                <w:sz w:val="20"/>
              </w:rPr>
              <w:t>3.5%</w:t>
            </w:r>
          </w:p>
        </w:tc>
        <w:tc>
          <w:tcPr>
            <w:tcW w:type="dxa" w:w="2880"/>
          </w:tcPr>
          <w:p>
            <w:r/>
            <w:r>
              <w:rPr>
                <w:rFonts w:ascii="Calibri" w:hAnsi="Calibri"/>
                <w:sz w:val="20"/>
              </w:rPr>
              <w:t>$700 billion</w:t>
            </w:r>
          </w:p>
        </w:tc>
      </w:tr>
      <w:tr>
        <w:tc>
          <w:tcPr>
            <w:tcW w:type="dxa" w:w="2880"/>
          </w:tcPr>
          <w:p>
            <w:r/>
            <w:r>
              <w:rPr>
                <w:rFonts w:ascii="Calibri" w:hAnsi="Calibri"/>
                <w:sz w:val="20"/>
              </w:rPr>
              <w:t>Global</w:t>
            </w:r>
          </w:p>
        </w:tc>
        <w:tc>
          <w:tcPr>
            <w:tcW w:type="dxa" w:w="2880"/>
          </w:tcPr>
          <w:p>
            <w:r/>
            <w:r>
              <w:rPr>
                <w:rFonts w:ascii="Calibri" w:hAnsi="Calibri"/>
                <w:sz w:val="20"/>
              </w:rPr>
            </w:r>
          </w:p>
        </w:tc>
        <w:tc>
          <w:tcPr>
            <w:tcW w:type="dxa" w:w="2880"/>
          </w:tcPr>
          <w:p>
            <w:r/>
            <w:r>
              <w:rPr>
                <w:rFonts w:ascii="Calibri" w:hAnsi="Calibri"/>
                <w:sz w:val="20"/>
              </w:rPr>
              <w:t>$1.5 trillion</w:t>
            </w:r>
          </w:p>
        </w:tc>
      </w:tr>
    </w:tbl>
    <w:p/>
    <w:p>
      <w:r>
        <w:rPr>
          <w:rFonts w:ascii="Calibri" w:hAnsi="Calibri"/>
        </w:rPr>
        <w:t>By analyzing these metrics and prioritizing investments in AI and digital transformation, the company can make informed decisions that drive business growth and expansion. Additionally, the company should consider the average salaries for AI professionals in the US and Europe, which are $141,000 per year and €85,000 per year, respectively (Indeed, 2023; Glassdoor, 2023), to ensure that it can attract and retain top talent.</w:t>
      </w:r>
    </w:p>
    <w:p>
      <w:r>
        <w:rPr>
          <w:rFonts w:ascii="Calibri" w:hAnsi="Calibri"/>
        </w:rPr>
        <w:t>To ensure a successful Q3 strategy, the company should also address potential challenges and risk factors, including high competition, regulatory compliance, and integration challenges. By developing a comprehensive plan that addresses these challenges and prioritizes investments in AI and digital transformation, the company can minimize risks and drive business growth. The company's Q3 strategy should be focused on achieving the following key objectives:</w:t>
      </w:r>
    </w:p>
    <w:p>
      <w:pPr>
        <w:pStyle w:val="ListNumber"/>
      </w:pPr>
      <w:r>
        <w:rPr>
          <w:rFonts w:ascii="Calibri" w:hAnsi="Calibri"/>
        </w:rPr>
        <w:t>Developing a phased integration plan for AI and digital transformation</w:t>
      </w:r>
    </w:p>
    <w:p>
      <w:pPr>
        <w:pStyle w:val="ListNumber"/>
      </w:pPr>
      <w:r>
        <w:rPr>
          <w:rFonts w:ascii="Calibri" w:hAnsi="Calibri"/>
        </w:rPr>
        <w:t>Providing training and support for employees to enhance their skills and knowledge</w:t>
      </w:r>
    </w:p>
    <w:p>
      <w:pPr>
        <w:pStyle w:val="ListNumber"/>
      </w:pPr>
      <w:r>
        <w:rPr>
          <w:rFonts w:ascii="Calibri" w:hAnsi="Calibri"/>
        </w:rPr>
        <w:t>Establishing a compliance team to ensure regulatory compliance in multiple markets</w:t>
      </w:r>
    </w:p>
    <w:p>
      <w:pPr>
        <w:pStyle w:val="ListNumber"/>
      </w:pPr>
      <w:r>
        <w:rPr>
          <w:rFonts w:ascii="Calibri" w:hAnsi="Calibri"/>
        </w:rPr>
        <w:t>Investing in AI-powered tools and technologies to drive business growth and expansion</w:t>
      </w:r>
    </w:p>
    <w:p>
      <w:r>
        <w:rPr>
          <w:rFonts w:ascii="Calibri" w:hAnsi="Calibri"/>
        </w:rPr>
        <w:t>By achieving these objectives, the company can stay ahead of the curve in terms of digital transformation and AI integration, drive business growth, and meet stakeholder expectations.</w:t>
      </w:r>
    </w:p>
    <w:p>
      <w:pPr>
        <w:pStyle w:val="Heading1"/>
      </w:pPr>
      <w:r>
        <w:t>AI Integration and Investment</w:t>
      </w:r>
    </w:p>
    <w:p>
      <w:r>
        <w:rPr>
          <w:rFonts w:ascii="Calibri" w:hAnsi="Calibri"/>
        </w:rPr>
        <w:t>The integration of Artificial Intelligence (AI) is becoming increasingly crucial for businesses to stay competitive in today's fast-paced market landscape. According to a survey by Gartner, 80% of companies plan to increase their investment in AI over the next two years, with 40% of respondents citing improved customer experience as the primary driver. This trend is driven by the need for businesses to improve operational efficiency, enhance customer experience, and gain a competitive edge. The global digital transformation market, which is expected to reach $1.5 trillion by 2025, growing at a CAGR of 20% (McKinsey, 2022), presents a significant opportunity for companies to invest in AI and drive business growth.</w:t>
      </w:r>
    </w:p>
    <w:p>
      <w:r>
        <w:rPr>
          <w:rFonts w:ascii="Calibri" w:hAnsi="Calibri"/>
        </w:rPr>
        <w:t>The current state of AI in our company is still in its infancy, with limited investment and integration. However, to stay ahead of the competition, it is essential that we prioritize investments in AI and digital transformation. The European market, with a projected GDP growth of 3.5% in 2024 (European Commission, 2023), presents a significant opportunity for expansion, while the US market, with a projected GDP growth of 2.5% in 2024 (Bureau of Economic Analysis, 2023), remains a crucial hub for innovation and technological advancements. To drive business growth and expansion, we should consider the following key objectives:</w:t>
      </w:r>
    </w:p>
    <w:p>
      <w:pPr>
        <w:pStyle w:val="ListNumber"/>
      </w:pPr>
      <w:r>
        <w:rPr>
          <w:rFonts w:ascii="Calibri" w:hAnsi="Calibri"/>
        </w:rPr>
        <w:t>Developing a phased integration plan for AI and digital transformation</w:t>
      </w:r>
    </w:p>
    <w:p>
      <w:pPr>
        <w:pStyle w:val="ListNumber"/>
      </w:pPr>
      <w:r>
        <w:rPr>
          <w:rFonts w:ascii="Calibri" w:hAnsi="Calibri"/>
        </w:rPr>
        <w:t>Providing training and support for employees to enhance their skills and knowledge</w:t>
      </w:r>
    </w:p>
    <w:p>
      <w:pPr>
        <w:pStyle w:val="ListNumber"/>
      </w:pPr>
      <w:r>
        <w:rPr>
          <w:rFonts w:ascii="Calibri" w:hAnsi="Calibri"/>
        </w:rPr>
        <w:t>Establishing a compliance team to ensure regulatory compliance in multiple markets</w:t>
      </w:r>
    </w:p>
    <w:p>
      <w:pPr>
        <w:pStyle w:val="ListNumber"/>
      </w:pPr>
      <w:r>
        <w:rPr>
          <w:rFonts w:ascii="Calibri" w:hAnsi="Calibri"/>
        </w:rPr>
        <w:t>Investing in AI-powered tools and technologies to drive business growth and expansion</w:t>
      </w:r>
    </w:p>
    <w:p>
      <w:r>
        <w:rPr>
          <w:rFonts w:ascii="Calibri" w:hAnsi="Calibri"/>
        </w:rPr>
        <w:t>To ensure a successful AI integration, we should also consider the average salaries for AI professionals in the US and Europe, which are $141,000 per year and €85,000 per year, respectively (Indeed, 2023; Glassdoor, 2023), to ensure that we can attract and retain top talent. The following table summarizes the key metrics for each market: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Market</w:t>
            </w:r>
          </w:p>
        </w:tc>
        <w:tc>
          <w:tcPr>
            <w:tcW w:type="dxa" w:w="2880"/>
            <w:shd w:fill="1A3C6E" w:val="clear"/>
          </w:tcPr>
          <w:p>
            <w:r/>
            <w:r>
              <w:rPr>
                <w:rFonts w:ascii="Calibri" w:hAnsi="Calibri"/>
                <w:b/>
                <w:color w:val="FFFFFF"/>
                <w:sz w:val="20"/>
              </w:rPr>
              <w:t>Projected GDP Growth</w:t>
            </w:r>
          </w:p>
        </w:tc>
        <w:tc>
          <w:tcPr>
            <w:tcW w:type="dxa" w:w="2880"/>
            <w:shd w:fill="1A3C6E" w:val="clear"/>
          </w:tcPr>
          <w:p>
            <w:r/>
            <w:r>
              <w:rPr>
                <w:rFonts w:ascii="Calibri" w:hAnsi="Calibri"/>
                <w:b/>
                <w:color w:val="FFFFFF"/>
                <w:sz w:val="20"/>
              </w:rPr>
              <w:t>Digital Transformation Market Size</w:t>
            </w:r>
          </w:p>
        </w:tc>
      </w:tr>
      <w:tr>
        <w:tc>
          <w:tcPr>
            <w:tcW w:type="dxa" w:w="2880"/>
          </w:tcPr>
          <w:p>
            <w:r/>
            <w:r>
              <w:rPr>
                <w:rFonts w:ascii="Calibri" w:hAnsi="Calibri"/>
                <w:sz w:val="20"/>
              </w:rPr>
              <w:t>US</w:t>
            </w:r>
          </w:p>
        </w:tc>
        <w:tc>
          <w:tcPr>
            <w:tcW w:type="dxa" w:w="2880"/>
          </w:tcPr>
          <w:p>
            <w:r/>
            <w:r>
              <w:rPr>
                <w:rFonts w:ascii="Calibri" w:hAnsi="Calibri"/>
                <w:sz w:val="20"/>
              </w:rPr>
              <w:t>2.5%</w:t>
            </w:r>
          </w:p>
        </w:tc>
        <w:tc>
          <w:tcPr>
            <w:tcW w:type="dxa" w:w="2880"/>
          </w:tcPr>
          <w:p>
            <w:r/>
            <w:r>
              <w:rPr>
                <w:rFonts w:ascii="Calibri" w:hAnsi="Calibri"/>
                <w:sz w:val="20"/>
              </w:rPr>
              <w:t>$500 billion</w:t>
            </w:r>
          </w:p>
        </w:tc>
      </w:tr>
      <w:tr>
        <w:tc>
          <w:tcPr>
            <w:tcW w:type="dxa" w:w="2880"/>
          </w:tcPr>
          <w:p>
            <w:r/>
            <w:r>
              <w:rPr>
                <w:rFonts w:ascii="Calibri" w:hAnsi="Calibri"/>
                <w:sz w:val="20"/>
              </w:rPr>
              <w:t>Europe</w:t>
            </w:r>
          </w:p>
        </w:tc>
        <w:tc>
          <w:tcPr>
            <w:tcW w:type="dxa" w:w="2880"/>
          </w:tcPr>
          <w:p>
            <w:r/>
            <w:r>
              <w:rPr>
                <w:rFonts w:ascii="Calibri" w:hAnsi="Calibri"/>
                <w:sz w:val="20"/>
              </w:rPr>
              <w:t>3.5%</w:t>
            </w:r>
          </w:p>
        </w:tc>
        <w:tc>
          <w:tcPr>
            <w:tcW w:type="dxa" w:w="2880"/>
          </w:tcPr>
          <w:p>
            <w:r/>
            <w:r>
              <w:rPr>
                <w:rFonts w:ascii="Calibri" w:hAnsi="Calibri"/>
                <w:sz w:val="20"/>
              </w:rPr>
              <w:t>$700 billion</w:t>
            </w:r>
          </w:p>
        </w:tc>
      </w:tr>
      <w:tr>
        <w:tc>
          <w:tcPr>
            <w:tcW w:type="dxa" w:w="2880"/>
          </w:tcPr>
          <w:p>
            <w:r/>
            <w:r>
              <w:rPr>
                <w:rFonts w:ascii="Calibri" w:hAnsi="Calibri"/>
                <w:sz w:val="20"/>
              </w:rPr>
              <w:t>Global</w:t>
            </w:r>
          </w:p>
        </w:tc>
        <w:tc>
          <w:tcPr>
            <w:tcW w:type="dxa" w:w="2880"/>
          </w:tcPr>
          <w:p>
            <w:r/>
            <w:r>
              <w:rPr>
                <w:rFonts w:ascii="Calibri" w:hAnsi="Calibri"/>
                <w:sz w:val="20"/>
              </w:rPr>
            </w:r>
          </w:p>
        </w:tc>
        <w:tc>
          <w:tcPr>
            <w:tcW w:type="dxa" w:w="2880"/>
          </w:tcPr>
          <w:p>
            <w:r/>
            <w:r>
              <w:rPr>
                <w:rFonts w:ascii="Calibri" w:hAnsi="Calibri"/>
                <w:sz w:val="20"/>
              </w:rPr>
              <w:t>$1.5 trillion</w:t>
            </w:r>
          </w:p>
        </w:tc>
      </w:tr>
    </w:tbl>
    <w:p/>
    <w:p>
      <w:r>
        <w:rPr>
          <w:rFonts w:ascii="Calibri" w:hAnsi="Calibri"/>
        </w:rPr>
        <w:t>By analyzing these metrics and prioritizing investments in AI and digital transformation, we can make informed decisions that drive business growth and expansion. Additionally, we should be aware of the potential challenges and risk factors, including high competition, regulatory compliance, and integration challenges, and develop a comprehensive plan to address these challenges.</w:t>
      </w:r>
    </w:p>
    <w:p>
      <w:r>
        <w:rPr>
          <w:rFonts w:ascii="Calibri" w:hAnsi="Calibri"/>
        </w:rPr>
        <w:t>Some of the key benefits of AI integration include:</w:t>
      </w:r>
    </w:p>
    <w:p>
      <w:pPr>
        <w:pStyle w:val="ListBullet"/>
      </w:pPr>
      <w:r>
        <w:rPr>
          <w:rFonts w:ascii="Calibri" w:hAnsi="Calibri"/>
        </w:rPr>
        <w:t>Improved operational efficiency</w:t>
      </w:r>
    </w:p>
    <w:p>
      <w:pPr>
        <w:pStyle w:val="ListBullet"/>
      </w:pPr>
      <w:r>
        <w:rPr>
          <w:rFonts w:ascii="Calibri" w:hAnsi="Calibri"/>
        </w:rPr>
        <w:t>Enhanced customer experience</w:t>
      </w:r>
    </w:p>
    <w:p>
      <w:pPr>
        <w:pStyle w:val="ListBullet"/>
      </w:pPr>
      <w:r>
        <w:rPr>
          <w:rFonts w:ascii="Calibri" w:hAnsi="Calibri"/>
        </w:rPr>
        <w:t>Gain a competitive edge</w:t>
      </w:r>
    </w:p>
    <w:p>
      <w:pPr>
        <w:pStyle w:val="ListBullet"/>
      </w:pPr>
      <w:r>
        <w:rPr>
          <w:rFonts w:ascii="Calibri" w:hAnsi="Calibri"/>
        </w:rPr>
        <w:t>Increased revenue and growth</w:t>
      </w:r>
    </w:p>
    <w:p>
      <w:pPr>
        <w:pStyle w:val="ListBullet"/>
      </w:pPr>
      <w:r>
        <w:rPr>
          <w:rFonts w:ascii="Calibri" w:hAnsi="Calibri"/>
        </w:rPr>
        <w:t>Better decision-making with data-driven insights</w:t>
      </w:r>
    </w:p>
    <w:p>
      <w:r>
        <w:rPr>
          <w:rFonts w:ascii="Calibri" w:hAnsi="Calibri"/>
        </w:rPr>
        <w:t>To achieve these benefits, we should invest in AI-powered tools and technologies, such as machine learning, natural language processing, and predictive analytics. We should also establish a team of AI professionals to develop and implement AI solutions, and provide training and support for employees to enhance their skills and knowledge. By prioritizing investments in AI and digital transformation, we can stay ahead of the competition, drive business growth, and meet stakeholder expectations.</w:t>
      </w:r>
    </w:p>
    <w:p>
      <w:pPr>
        <w:pStyle w:val="Heading1"/>
      </w:pPr>
      <w:r>
        <w:t>Conclusion and Recommendations</w:t>
      </w:r>
    </w:p>
    <w:p>
      <w:r>
        <w:rPr>
          <w:rFonts w:ascii="Calibri" w:hAnsi="Calibri"/>
        </w:rPr>
        <w:t>In conclusion, our research highlights the significance of integrating Artificial Intelligence (AI) and digital transformation to drive business growth and expansion. The global digital transformation market is expected to reach $1.5 trillion by 2025, growing at a CAGR of 20% (McKinsey, 2022). This trend is driven by the need for businesses to improve operational efficiency, enhance customer experience, and gain a competitive edge. As we consider our Q3 strategy, it is essential to prioritize investments in AI and digital transformation to stay ahead of the competition.</w:t>
      </w:r>
    </w:p>
    <w:p>
      <w:r>
        <w:rPr>
          <w:rFonts w:ascii="Calibri" w:hAnsi="Calibri"/>
        </w:rPr>
        <w:t>The European market presents a significant opportunity for expansion, with the region's GDP expected to grow by 3.5% in 2024 (European Commission, 2023). In contrast, the US market is experiencing a slowdown, with GDP growth projected to be 2.5% in 2024 (Bureau of Economic Analysis, 2023). To capitalize on these trends, we recommend the following key objectives:</w:t>
      </w:r>
    </w:p>
    <w:p>
      <w:pPr>
        <w:pStyle w:val="ListBullet"/>
      </w:pPr>
      <w:r>
        <w:rPr>
          <w:rFonts w:ascii="Calibri" w:hAnsi="Calibri"/>
        </w:rPr>
        <w:t>Developing a phased integration plan for AI and digital transformation</w:t>
      </w:r>
    </w:p>
    <w:p>
      <w:pPr>
        <w:pStyle w:val="ListBullet"/>
      </w:pPr>
      <w:r>
        <w:rPr>
          <w:rFonts w:ascii="Calibri" w:hAnsi="Calibri"/>
        </w:rPr>
        <w:t>Providing training and support for employees to enhance their skills and knowledge</w:t>
      </w:r>
    </w:p>
    <w:p>
      <w:pPr>
        <w:pStyle w:val="ListBullet"/>
      </w:pPr>
      <w:r>
        <w:rPr>
          <w:rFonts w:ascii="Calibri" w:hAnsi="Calibri"/>
        </w:rPr>
        <w:t>Establishing a compliance team to ensure regulatory compliance in multiple markets</w:t>
      </w:r>
    </w:p>
    <w:p>
      <w:pPr>
        <w:pStyle w:val="ListBullet"/>
      </w:pPr>
      <w:r>
        <w:rPr>
          <w:rFonts w:ascii="Calibri" w:hAnsi="Calibri"/>
        </w:rPr>
        <w:t>Investing in AI-powered tools and technologies to drive business growth and expansion</w:t>
      </w:r>
    </w:p>
    <w:p>
      <w:r>
        <w:rPr>
          <w:rFonts w:ascii="Calibri" w:hAnsi="Calibri"/>
        </w:rPr>
        <w:t>By achieving these objectives, we can improve operational efficiency, enhance customer experience, and gain a competitive edge. Some of the key benefits of AI integration include:</w:t>
      </w:r>
    </w:p>
    <w:p>
      <w:pPr>
        <w:pStyle w:val="ListBullet"/>
      </w:pPr>
      <w:r>
        <w:rPr>
          <w:rFonts w:ascii="Calibri" w:hAnsi="Calibri"/>
        </w:rPr>
        <w:t>Improved operational efficiency</w:t>
      </w:r>
    </w:p>
    <w:p>
      <w:pPr>
        <w:pStyle w:val="ListBullet"/>
      </w:pPr>
      <w:r>
        <w:rPr>
          <w:rFonts w:ascii="Calibri" w:hAnsi="Calibri"/>
        </w:rPr>
        <w:t>Enhanced customer experience</w:t>
      </w:r>
    </w:p>
    <w:p>
      <w:pPr>
        <w:pStyle w:val="ListBullet"/>
      </w:pPr>
      <w:r>
        <w:rPr>
          <w:rFonts w:ascii="Calibri" w:hAnsi="Calibri"/>
        </w:rPr>
        <w:t>Gain a competitive edge</w:t>
      </w:r>
    </w:p>
    <w:p>
      <w:pPr>
        <w:pStyle w:val="ListBullet"/>
      </w:pPr>
      <w:r>
        <w:rPr>
          <w:rFonts w:ascii="Calibri" w:hAnsi="Calibri"/>
        </w:rPr>
        <w:t>Increased revenue and growth</w:t>
      </w:r>
    </w:p>
    <w:p>
      <w:pPr>
        <w:pStyle w:val="ListBullet"/>
      </w:pPr>
      <w:r>
        <w:rPr>
          <w:rFonts w:ascii="Calibri" w:hAnsi="Calibri"/>
        </w:rPr>
        <w:t>Better decision-making with data-driven insights</w:t>
      </w:r>
    </w:p>
    <w:p>
      <w:r>
        <w:rPr>
          <w:rFonts w:ascii="Calibri" w:hAnsi="Calibri"/>
        </w:rPr>
        <w:t>To support our strategy, we should consider the following key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Market</w:t>
            </w:r>
          </w:p>
        </w:tc>
        <w:tc>
          <w:tcPr>
            <w:tcW w:type="dxa" w:w="2880"/>
            <w:shd w:fill="1A3C6E" w:val="clear"/>
          </w:tcPr>
          <w:p>
            <w:r/>
            <w:r>
              <w:rPr>
                <w:rFonts w:ascii="Calibri" w:hAnsi="Calibri"/>
                <w:b/>
                <w:color w:val="FFFFFF"/>
                <w:sz w:val="20"/>
              </w:rPr>
              <w:t>Projected GDP Growth</w:t>
            </w:r>
          </w:p>
        </w:tc>
        <w:tc>
          <w:tcPr>
            <w:tcW w:type="dxa" w:w="2880"/>
            <w:shd w:fill="1A3C6E" w:val="clear"/>
          </w:tcPr>
          <w:p>
            <w:r/>
            <w:r>
              <w:rPr>
                <w:rFonts w:ascii="Calibri" w:hAnsi="Calibri"/>
                <w:b/>
                <w:color w:val="FFFFFF"/>
                <w:sz w:val="20"/>
              </w:rPr>
              <w:t>Digital Transformation Market Size</w:t>
            </w:r>
          </w:p>
        </w:tc>
      </w:tr>
      <w:tr>
        <w:tc>
          <w:tcPr>
            <w:tcW w:type="dxa" w:w="2880"/>
          </w:tcPr>
          <w:p>
            <w:r/>
            <w:r>
              <w:rPr>
                <w:rFonts w:ascii="Calibri" w:hAnsi="Calibri"/>
                <w:sz w:val="20"/>
              </w:rPr>
              <w:t>US</w:t>
            </w:r>
          </w:p>
        </w:tc>
        <w:tc>
          <w:tcPr>
            <w:tcW w:type="dxa" w:w="2880"/>
          </w:tcPr>
          <w:p>
            <w:r/>
            <w:r>
              <w:rPr>
                <w:rFonts w:ascii="Calibri" w:hAnsi="Calibri"/>
                <w:sz w:val="20"/>
              </w:rPr>
              <w:t>2.5%</w:t>
            </w:r>
          </w:p>
        </w:tc>
        <w:tc>
          <w:tcPr>
            <w:tcW w:type="dxa" w:w="2880"/>
          </w:tcPr>
          <w:p>
            <w:r/>
            <w:r>
              <w:rPr>
                <w:rFonts w:ascii="Calibri" w:hAnsi="Calibri"/>
                <w:sz w:val="20"/>
              </w:rPr>
              <w:t>$500 billion</w:t>
            </w:r>
          </w:p>
        </w:tc>
      </w:tr>
      <w:tr>
        <w:tc>
          <w:tcPr>
            <w:tcW w:type="dxa" w:w="2880"/>
          </w:tcPr>
          <w:p>
            <w:r/>
            <w:r>
              <w:rPr>
                <w:rFonts w:ascii="Calibri" w:hAnsi="Calibri"/>
                <w:sz w:val="20"/>
              </w:rPr>
              <w:t>Europe</w:t>
            </w:r>
          </w:p>
        </w:tc>
        <w:tc>
          <w:tcPr>
            <w:tcW w:type="dxa" w:w="2880"/>
          </w:tcPr>
          <w:p>
            <w:r/>
            <w:r>
              <w:rPr>
                <w:rFonts w:ascii="Calibri" w:hAnsi="Calibri"/>
                <w:sz w:val="20"/>
              </w:rPr>
              <w:t>3.5%</w:t>
            </w:r>
          </w:p>
        </w:tc>
        <w:tc>
          <w:tcPr>
            <w:tcW w:type="dxa" w:w="2880"/>
          </w:tcPr>
          <w:p>
            <w:r/>
            <w:r>
              <w:rPr>
                <w:rFonts w:ascii="Calibri" w:hAnsi="Calibri"/>
                <w:sz w:val="20"/>
              </w:rPr>
              <w:t>$700 billion</w:t>
            </w:r>
          </w:p>
        </w:tc>
      </w:tr>
      <w:tr>
        <w:tc>
          <w:tcPr>
            <w:tcW w:type="dxa" w:w="2880"/>
          </w:tcPr>
          <w:p>
            <w:r/>
            <w:r>
              <w:rPr>
                <w:rFonts w:ascii="Calibri" w:hAnsi="Calibri"/>
                <w:sz w:val="20"/>
              </w:rPr>
              <w:t>Global</w:t>
            </w:r>
          </w:p>
        </w:tc>
        <w:tc>
          <w:tcPr>
            <w:tcW w:type="dxa" w:w="2880"/>
          </w:tcPr>
          <w:p>
            <w:r/>
            <w:r>
              <w:rPr>
                <w:rFonts w:ascii="Calibri" w:hAnsi="Calibri"/>
                <w:sz w:val="20"/>
              </w:rPr>
            </w:r>
          </w:p>
        </w:tc>
        <w:tc>
          <w:tcPr>
            <w:tcW w:type="dxa" w:w="2880"/>
          </w:tcPr>
          <w:p>
            <w:r/>
            <w:r>
              <w:rPr>
                <w:rFonts w:ascii="Calibri" w:hAnsi="Calibri"/>
                <w:sz w:val="20"/>
              </w:rPr>
              <w:t>$1.5 trillion</w:t>
            </w:r>
          </w:p>
        </w:tc>
      </w:tr>
    </w:tbl>
    <w:p/>
    <w:p>
      <w:r>
        <w:rPr>
          <w:rFonts w:ascii="Calibri" w:hAnsi="Calibri"/>
        </w:rPr>
        <w:t>These metrics highlight the significance of the European market and the need to prioritize investments in AI and digital transformation. Additionally, we should be aware of the average salaries for AI professionals in the US and Europe, which are $141,000 per year and €85,000 per year, respectively (Indeed, 2023; Glassdoor, 2023), to ensure that we can attract and retain top talent.</w:t>
      </w:r>
    </w:p>
    <w:p>
      <w:r>
        <w:rPr>
          <w:rFonts w:ascii="Calibri" w:hAnsi="Calibri"/>
        </w:rPr>
        <w:t>In light of these findings, we recommend that the CEO and other stakeholders take the following actions:</w:t>
      </w:r>
    </w:p>
    <w:p>
      <w:pPr>
        <w:pStyle w:val="ListNumber"/>
      </w:pPr>
      <w:r>
        <w:rPr>
          <w:rFonts w:ascii="Calibri" w:hAnsi="Calibri"/>
        </w:rPr>
        <w:t>Allocate sufficient budget to support the phased integration plan for AI and digital transformation</w:t>
      </w:r>
    </w:p>
    <w:p>
      <w:pPr>
        <w:pStyle w:val="ListNumber"/>
      </w:pPr>
      <w:r>
        <w:rPr>
          <w:rFonts w:ascii="Calibri" w:hAnsi="Calibri"/>
        </w:rPr>
        <w:t>Establish a team of AI professionals to develop and implement AI solutions</w:t>
      </w:r>
    </w:p>
    <w:p>
      <w:pPr>
        <w:pStyle w:val="ListNumber"/>
      </w:pPr>
      <w:r>
        <w:rPr>
          <w:rFonts w:ascii="Calibri" w:hAnsi="Calibri"/>
        </w:rPr>
        <w:t>Provide training and support for employees to enhance their skills and knowledge</w:t>
      </w:r>
    </w:p>
    <w:p>
      <w:pPr>
        <w:pStyle w:val="ListNumber"/>
      </w:pPr>
      <w:r>
        <w:rPr>
          <w:rFonts w:ascii="Calibri" w:hAnsi="Calibri"/>
        </w:rPr>
        <w:t>Monitor and evaluate the progress of our AI integration and digital transformation strategy to ensure it is meeting stakeholder expectations. By taking these steps, we can drive business growth, expansion, and stay ahead of the competition. We urge the CEO and other stakeholders to take immediate action to prioritize investments in AI and digital transformation, ensuring the company's long-term success and competitiveness in the market.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A7CBD"/>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A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