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أسئلة شائعة عن المصروفات – Expenses FAQ</w:t>
      </w:r>
    </w:p>
    <w:p>
      <w:pPr>
        <w:pStyle w:val="Heading2"/>
        <w:bidi w:val="1"/>
        <w:jc w:val="right"/>
      </w:pPr>
      <w:r>
        <w:rPr>
          <w:rtl w:val="1"/>
        </w:rPr>
        <w:t>متى تُصرف المصروفات؟ – Reimbursement</w:t>
      </w:r>
    </w:p>
    <w:p>
      <w:pPr>
        <w:bidi w:val="1"/>
        <w:jc w:val="right"/>
      </w:pPr>
      <w:r>
        <w:rPr>
          <w:rtl w:val="1"/>
        </w:rPr>
        <w:t>تُصرف مطالبات المصروفات المعتمدة مع مسير الرواتب التالي. تظهر حالة المطالبة في الـ Finance Portal.</w:t>
      </w:r>
    </w:p>
    <w:p>
      <w:pPr>
        <w:pStyle w:val="Heading2"/>
        <w:bidi w:val="1"/>
        <w:jc w:val="right"/>
      </w:pPr>
      <w:r>
        <w:rPr>
          <w:rtl w:val="1"/>
        </w:rPr>
        <w:t>ضيافة العملاء – Client Entertainment</w:t>
      </w:r>
    </w:p>
    <w:p>
      <w:pPr>
        <w:bidi w:val="1"/>
        <w:jc w:val="right"/>
      </w:pPr>
      <w:r>
        <w:rPr>
          <w:rtl w:val="1"/>
        </w:rPr>
        <w:t>الحد الأعلى لمصروفات ضيافة العملاء هو 250 ريالًا سعوديًا للشخص الواحد. يجب ذكر أسماء الضيوف والجهة التي يمثلونها في الـ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