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tl w:val="1"/>
        </w:rPr>
        <w:t>الباقة المؤسسية لتجهيز المكاتب</w:t>
      </w:r>
    </w:p>
    <w:p>
      <w:pPr>
        <w:pStyle w:val="Heading2"/>
        <w:bidi w:val="1"/>
        <w:jc w:val="right"/>
      </w:pPr>
      <w:r>
        <w:rPr>
          <w:rtl w:val="1"/>
        </w:rPr>
        <w:t>نظرة عامة على الباقة المؤسسية</w:t>
      </w:r>
    </w:p>
    <w:p>
      <w:pPr>
        <w:bidi w:val="1"/>
        <w:jc w:val="right"/>
      </w:pPr>
      <w:r>
        <w:rPr>
          <w:rtl w:val="1"/>
        </w:rPr>
        <w:t>تقدم قمم للمنزل الباقة المؤسسية للشركات والجهات التي ترغب في تجهيز مكاتبها وصيانتها ضمن عقد واحد.</w:t>
      </w:r>
    </w:p>
    <w:p>
      <w:pPr>
        <w:bidi w:val="1"/>
        <w:jc w:val="right"/>
      </w:pPr>
      <w:r>
        <w:rPr>
          <w:rtl w:val="1"/>
        </w:rPr>
        <w:t>تشمل الباقة المؤسسية الدعم المميز وزيارة صيانة ربع سنوية والتوصيل والتركيب مجانًا.</w:t>
      </w:r>
    </w:p>
    <w:p>
      <w:pPr>
        <w:pStyle w:val="Heading2"/>
        <w:bidi w:val="1"/>
        <w:jc w:val="right"/>
      </w:pPr>
      <w:r>
        <w:rPr>
          <w:rtl w:val="1"/>
        </w:rPr>
        <w:t>أسعار الباقة المؤسسية</w:t>
      </w:r>
    </w:p>
    <w:p>
      <w:pPr>
        <w:bidi w:val="1"/>
        <w:jc w:val="right"/>
      </w:pPr>
      <w:r>
        <w:rPr>
          <w:rtl w:val="1"/>
        </w:rPr>
        <w:t>تبلغ تكلفة الباقة المؤسسية 18,500 ريال سعودي سنويًا وتشمل حتى 25 محطة عمل.</w:t>
      </w:r>
    </w:p>
    <w:p>
      <w:pPr>
        <w:bidi w:val="1"/>
        <w:jc w:val="right"/>
      </w:pPr>
      <w:r>
        <w:rPr>
          <w:rtl w:val="1"/>
        </w:rPr>
        <w:t>تُحتسب 650 ريالًا سعوديًا سنويًا عن كل محطة عمل إضافية تتجاوز الحد المشمول في الباقة المؤسسية.</w:t>
      </w:r>
    </w:p>
    <w:p>
      <w:pPr>
        <w:pStyle w:val="Heading2"/>
        <w:bidi w:val="1"/>
        <w:jc w:val="right"/>
      </w:pPr>
      <w:r>
        <w:rPr>
          <w:rtl w:val="1"/>
        </w:rPr>
        <w:t>الأهلية والتعاقد</w:t>
      </w:r>
    </w:p>
    <w:p>
      <w:pPr>
        <w:bidi w:val="1"/>
        <w:jc w:val="right"/>
      </w:pPr>
      <w:r>
        <w:rPr>
          <w:rtl w:val="1"/>
        </w:rPr>
        <w:t>تتاح الباقة المؤسسية للشركات والجهات المسجلة في المملكة العربية السعودية، ويُوقَّع عقد خدمة يحدد مواقع العمل المشمولة وجهة الاتصال المعتمدة لدى العميل.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