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طرق استرداد المبالغ – Refund Methods</w:t>
      </w:r>
    </w:p>
    <w:p>
      <w:pPr>
        <w:pStyle w:val="Heading2"/>
        <w:bidi w:val="1"/>
        <w:jc w:val="right"/>
      </w:pPr>
      <w:r>
        <w:rPr>
          <w:rtl w:val="1"/>
        </w:rPr>
        <w:t>نظرة عامة – Overview</w:t>
      </w:r>
    </w:p>
    <w:p>
      <w:pPr>
        <w:bidi w:val="1"/>
        <w:jc w:val="right"/>
      </w:pPr>
      <w:r>
        <w:rPr>
          <w:rtl w:val="1"/>
        </w:rPr>
        <w:t>يعتمد أسلوب الـ Refund على طريقة الدفع المستخدمة في الطلب الأصلي، ويتم تنفيذه بعد اعتماد طلب الإرجاع في نظام Returns Management.</w:t>
      </w:r>
    </w:p>
    <w:p>
      <w:pPr>
        <w:pStyle w:val="Heading2"/>
        <w:bidi w:val="1"/>
        <w:jc w:val="right"/>
      </w:pPr>
      <w:r>
        <w:rPr>
          <w:rtl w:val="1"/>
        </w:rPr>
        <w:t>الدفع بالبطاقة – Card Payments</w:t>
      </w:r>
    </w:p>
    <w:p>
      <w:pPr>
        <w:bidi w:val="1"/>
        <w:jc w:val="right"/>
      </w:pPr>
      <w:r>
        <w:rPr>
          <w:rtl w:val="1"/>
        </w:rPr>
        <w:t>تُسترد المدفوعات بالبطاقة إلى البطاقة نفسها المستخدمة في الشراء. ويشمل ذلك بطاقات mada و Visa و Mastercard.</w:t>
      </w:r>
    </w:p>
    <w:p>
      <w:pPr>
        <w:pStyle w:val="Heading2"/>
        <w:bidi w:val="1"/>
        <w:jc w:val="right"/>
      </w:pPr>
      <w:r>
        <w:rPr>
          <w:rtl w:val="1"/>
        </w:rPr>
        <w:t>الدفع عند الاستلام – Cash on Delivery</w:t>
      </w:r>
    </w:p>
    <w:p>
      <w:pPr>
        <w:bidi w:val="1"/>
        <w:jc w:val="right"/>
      </w:pPr>
      <w:r>
        <w:rPr>
          <w:rtl w:val="1"/>
        </w:rPr>
        <w:t>تُسترد مبالغ طلبات الدفع عند الاستلام بتحويل بنكي إلى IBAN سعودي خلال 10 أيام عمل. يجب أن يكون الـ IBAN مسجلًا باسم صاحب الطلب.</w:t>
      </w:r>
    </w:p>
    <w:p>
      <w:pPr>
        <w:pStyle w:val="Heading2"/>
        <w:bidi w:val="1"/>
        <w:jc w:val="right"/>
      </w:pPr>
      <w:r>
        <w:rPr>
          <w:rtl w:val="1"/>
        </w:rPr>
        <w:t>رصيد المتجر – Store Credit</w:t>
      </w:r>
    </w:p>
    <w:p>
      <w:pPr>
        <w:bidi w:val="1"/>
        <w:jc w:val="right"/>
      </w:pPr>
      <w:r>
        <w:rPr>
          <w:rtl w:val="1"/>
        </w:rPr>
        <w:t>يحصل العملاء الذين يختارون رصيد المتجر على قيمة إضافية بنسبة 5%، ويبقى الرصيد صالحًا لمدة 12 شهرًا. يمكن استخدام الـ Store Credit في المعارض أو عبر الموقع الإلكتروني.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