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20"/>
      </w:pPr>
      <w:r>
        <w:rPr>
          <w:rFonts w:ascii="Calibri" w:cs="Calibri" w:eastAsia="Calibri" w:hAnsi="Calibri"/>
        </w:rPr>
        <w:t xml:space="preserve">Guía docente y solucionario · Ciberseguridad 11°-3</w:t>
      </w:r>
    </w:p>
    <w:p>
      <w:pPr>
        <w:spacing w:after="100"/>
      </w:pPr>
      <w:r>
        <w:rPr>
          <w:rFonts w:ascii="Calibri" w:cs="Calibri" w:eastAsia="Calibri" w:hAnsi="Calibri"/>
        </w:rPr>
        <w:t xml:space="preserve">Uso exclusivo del docente. Contiene las respuestas esperadas de los trabajos cotidianos y sugerencias de aplicación.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Distribución sugerida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88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38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Cotidiano</w:t>
            </w:r>
          </w:p>
        </w:tc>
        <w:tc>
          <w:tcPr>
            <w:tcW w:type="dxa" w:w="2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RA1</w:t>
            </w:r>
          </w:p>
        </w:tc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Presentación RA1 + página web RA1</w:t>
            </w:r>
          </w:p>
        </w:tc>
        <w:tc>
          <w:tcPr>
            <w:tcW w:type="dxa" w:w="38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N.º 1 Laboratorio VM · N.º 2 Consultoría de nube</w:t>
            </w:r>
          </w:p>
        </w:tc>
        <w:tc>
          <w:tcPr>
            <w:tcW w:type="dxa" w:w="2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Semanas 1–3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RA2</w:t>
            </w:r>
          </w:p>
        </w:tc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Presentación RA2 + página web RA2</w:t>
            </w:r>
          </w:p>
        </w:tc>
        <w:tc>
          <w:tcPr>
            <w:tcW w:type="dxa" w:w="38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N.º 3 Responsabilidad y ciclo de vida · N.º 4 Laboratorio de cifrado</w:t>
            </w:r>
          </w:p>
        </w:tc>
        <w:tc>
          <w:tcPr>
            <w:tcW w:type="dxa" w:w="2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Semanas 4–6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RA3</w:t>
            </w:r>
          </w:p>
        </w:tc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Presentación RA3 + página web RA3</w:t>
            </w:r>
          </w:p>
        </w:tc>
        <w:tc>
          <w:tcPr>
            <w:tcW w:type="dxa" w:w="38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N.º 5 Análisis de riesgos · N.º 6 Proveedores e incidentes</w:t>
            </w:r>
          </w:p>
        </w:tc>
        <w:tc>
          <w:tcPr>
            <w:tcW w:type="dxa" w:w="2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Semanas 7–9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Integrador</w:t>
            </w:r>
          </w:p>
        </w:tc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 CloudSegura CR</w:t>
            </w:r>
          </w:p>
        </w:tc>
        <w:tc>
          <w:tcPr>
            <w:tcW w:type="dxa" w:w="38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Semanas 10–14 (puede iniciar en paralelo a RA2)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Cotidiano N.º 1 · Laboratorio VM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Host: la computadora física del laboratorio. Guest: el Linux instalado en la VM. Hipervisor: VirtualBox. Snapshot: "Estado limpio". Tipo: 2 (alojado).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VirtualBox es tipo 2 porque se instala sobre Windows/Linux. Tipo 1: VMware ESXi, Hyper-V Server o Xen, en centros de datos y proveedores de nube.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Ventajas comprobadas: aislamiento, recuperación con snapshot, ahorro de hardware, entorno de pruebas seguro.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Relación con la nube: AWS/Azure usan hipervisores tipo 1 para crear VM que alquilan a sus clientes (IaaS).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Cotidiano N.º 2 · Cooperativa (respuesta esperada)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Correo y documentos: SaaS, nube pública (Google Workspace o Microsoft 365).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y datos de asociados: SaaS contable o IaaS/nube privada con cifrado; considerar ubicación de datos y Ley 8968.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Tienda en línea: PaaS o SaaS (Shopify, App Service) en nube pública por la elasticidad en diciembre.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Modelo general recomendado: </w:t>
      </w:r>
      <w:r>
        <w:rPr>
          <w:rFonts w:ascii="Calibri" w:cs="Calibri" w:eastAsia="Calibri" w:hAnsi="Calibri"/>
          <w:b/>
          <w:bCs/>
        </w:rPr>
        <w:t xml:space="preserve">híbrido</w:t>
      </w:r>
      <w:r>
        <w:rPr>
          <w:rFonts w:ascii="Calibri" w:cs="Calibri" w:eastAsia="Calibri" w:hAnsi="Calibri"/>
        </w:rPr>
        <w:t xml:space="preserve">; contratación bajo demanda/suscripción por usuario. Si conservan un servidor: Hyper-V (incluido en Windows Server) o VMware ESXi, tipo 1.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Cotidiano N.º 3 · Solucionario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Parte A (pareo):</w:t>
      </w:r>
      <w:r>
        <w:rPr>
          <w:rFonts w:ascii="Calibri" w:cs="Calibri" w:eastAsia="Calibri" w:hAnsi="Calibri"/>
        </w:rPr>
        <w:t xml:space="preserve"> 1-D (SDDC) · 2-F (Hiperconvergente) · 3-E (Cloud First) · 4-B (HDDC) · 5-A (Escalabilidad) · 6-C (Abstracción) · 7-G (Portabilidad).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Parte B:</w:t>
      </w:r>
      <w:r>
        <w:rPr>
          <w:rFonts w:ascii="Calibri" w:cs="Calibri" w:eastAsia="Calibri" w:hAnsi="Calibri"/>
        </w:rPr>
        <w:t xml:space="preserve"> 1) IaaS · cliente. 2) Cualquier modelo · proveedor (infraestructura física). 3) SaaS · cliente (configuración de compartición). 4) PaaS · cliente (código propio). 5) IaaS · proveedor (capa de virtualización).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Parte C (ejemplos):</w:t>
      </w:r>
      <w:r>
        <w:rPr>
          <w:rFonts w:ascii="Calibri" w:cs="Calibri" w:eastAsia="Calibri" w:hAnsi="Calibri"/>
        </w:rPr>
        <w:t xml:space="preserve"> Crear: clasificar como confidencial. Almacenar: cifrado y permisos por rol. Usar: MFA y registro de accesos. Compartir: solo con cuentas institucionales, sin enlaces públicos. Archivar: carpeta de solo lectura con retención. Destruir: eliminación segura al vencer el plazo legal.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Parte D:</w:t>
      </w:r>
      <w:r>
        <w:rPr>
          <w:rFonts w:ascii="Calibri" w:cs="Calibri" w:eastAsia="Calibri" w:hAnsi="Calibri"/>
        </w:rPr>
        <w:t xml:space="preserve"> dejar de usar root y crear usuario administrador con MFA; contraseña robusta; revocar la llave expuesta y generar una nueva en un gestor de secretos; aplicar mínimo privilegio; revisar registros por uso indebido.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Cotidiano N.º 4 · Respuestas esperadas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hash cambia completamente con un solo carácter distinto: demuestra que se alteró la integridad.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Drive no puede mostrar el contenido: el archivo está cifrado del lado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AES-256 con contraseña es </w:t>
      </w:r>
      <w:r>
        <w:rPr>
          <w:rFonts w:ascii="Calibri" w:cs="Calibri" w:eastAsia="Calibri" w:hAnsi="Calibri"/>
          <w:b/>
          <w:bCs/>
        </w:rPr>
        <w:t xml:space="preserve">simétrico</w:t>
      </w:r>
      <w:r>
        <w:rPr>
          <w:rFonts w:ascii="Calibri" w:cs="Calibri" w:eastAsia="Calibri" w:hAnsi="Calibri"/>
        </w:rPr>
        <w:t xml:space="preserve"> (misma llave para cifrar y descifrar).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se pierde la contraseña, nadie puede recuperar el archivo: la llave es responsabilidad del cliente (analogía con BYOK); con KMS el proveedor custodia y rota llaves.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Asimétrico en la nube: HTTPS/TLS, llaves SSH, firmas digitales.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Cotidiano N.º 5 · Respuestas esperadas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Activos: expedientes, notas, fotografías de menores, cuentas de correo, Classroom.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Amenazas/vulnerabilidades: contraseñas débiles (cédula), sin MFA, cuentas de exfuncionarios activas, creación manual de cuentas, phishing, compartición pública de archivos.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Ley 8968, supervisada por la PRODHAB. El padre ejerce los derechos de </w:t>
      </w:r>
      <w:r>
        <w:rPr>
          <w:rFonts w:ascii="Calibri" w:cs="Calibri" w:eastAsia="Calibri" w:hAnsi="Calibri"/>
          <w:b/>
          <w:bCs/>
        </w:rPr>
        <w:t xml:space="preserve">acceso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rectificación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SSO centraliza y facilita dar de baja cuentas; MFA frena el robo de contraseñas; RBAC limita qué ve cada rol.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Cotidiano N.º 6 · Simulacro (respuesta esperada)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Preparación: alertas de presupuesto, MFA, llaves en gestor de secretos, plan y contactos.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Detección: alerta de costos; revisar registros (CloudTrail/Activity Log) y confirmar uso de la llave expuesta.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Contención: revocar/desactivar la llave, bloquear el usuario, detener los 40 servidores, eliminar la llave del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Erradicación: borrar recursos creados por el atacante, revisar otras credenciales y permisos, rotar todas las llaves.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Recuperación: nuevas credenciales con mínimo privilegio, monitoreo reforzado, solicitar al proveedor revisión de cargos.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Lecciones: capacitación sobre secretos en repositorios, escaneo de secretos en GitHub, política de MFA obligatoria. Reportar al proveedor y al CSIRT-CR.</w:t>
      </w:r>
    </w:p>
    <w:sectPr>
      <w:footerReference w:type="default" r:id="rId6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Guía docente · 11°-3 · Página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0B254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docente · 11°-3</dc:title>
  <dc:creator>Ciberseguridad 11°-3</dc:creator>
  <cp:lastModifiedBy>Un-named</cp:lastModifiedBy>
  <cp:revision>1</cp:revision>
  <dcterms:created xsi:type="dcterms:W3CDTF">2026-09-29T14:15:22.152Z</dcterms:created>
  <dcterms:modified xsi:type="dcterms:W3CDTF">2026-09-29T14:15:22.152Z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