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before="200"/>
        <w:jc w:val="center"/>
      </w:pPr>
      <w:r>
        <w:rPr>
          <w:rFonts w:ascii="Calibri" w:cs="Calibri" w:eastAsia="Calibri" w:hAnsi="Calibri"/>
          <w:color w:val="374151"/>
          <w:sz w:val="18"/>
          <w:szCs w:val="18"/>
        </w:rPr>
        <w:t xml:space="preserve">CTP MERCEDES NORTE · CIBERSEGURIDAD · DÉCIMO</w:t>
      </w:r>
    </w:p>
    <w:p>
      <w:pPr>
        <w:spacing w:after="40"/>
        <w:jc w:val="center"/>
      </w:pPr>
      <w:r>
        <w:rPr>
          <w:rFonts w:ascii="Calibri" w:cs="Calibri" w:eastAsia="Calibri" w:hAnsi="Calibri"/>
          <w:i/>
          <w:iCs/>
          <w:color w:val="374151"/>
          <w:sz w:val="18"/>
          <w:szCs w:val="18"/>
        </w:rPr>
        <w:t xml:space="preserve">Lic. Ed. Ericka Hernández Mena</w:t>
      </w:r>
    </w:p>
    <w:p>
      <w:pPr>
        <w:spacing w:after="40"/>
        <w:jc w:val="center"/>
      </w:pPr>
      <w:r>
        <w:rPr>
          <w:rFonts w:ascii="Cambria" w:cs="Cambria" w:eastAsia="Cambria" w:hAnsi="Cambria"/>
          <w:b/>
          <w:bCs/>
          <w:color w:val="111827"/>
          <w:sz w:val="32"/>
          <w:szCs w:val="32"/>
        </w:rPr>
        <w:t xml:space="preserve">MATERIAL DE ESTUDIO — UNIDAD 1</w:t>
      </w:r>
    </w:p>
    <w:p>
      <w:pPr>
        <w:spacing w:after="60"/>
        <w:jc w:val="center"/>
      </w:pPr>
      <w:r>
        <w:rPr>
          <w:rFonts w:ascii="Cambria" w:cs="Cambria" w:eastAsia="Cambria" w:hAnsi="Cambria"/>
          <w:i/>
          <w:iCs/>
          <w:color w:val="0F766E"/>
          <w:sz w:val="24"/>
          <w:szCs w:val="24"/>
        </w:rPr>
        <w:t xml:space="preserve">Esquemas lógicos para el diseño seguro del software</w:t>
      </w:r>
    </w:p>
    <w:p>
      <w:pPr>
        <w:pBdr>
          <w:bottom w:val="single" w:color="0F766E" w:sz="8" w:space="6"/>
        </w:pBdr>
        <w:spacing w:after="260"/>
        <w:jc w:val="center"/>
      </w:pPr>
      <w:r>
        <w:t xml:space="preserve"/>
      </w:r>
    </w:p>
    <w:p>
      <w:pPr>
        <w:spacing w:after="200" w:line="300"/>
      </w:pPr>
      <w:r>
        <w:rPr>
          <w:rFonts w:ascii="Calibri" w:cs="Calibri" w:eastAsia="Calibri" w:hAnsi="Calibri"/>
          <w:i/>
          <w:iCs/>
          <w:color w:val="374151"/>
          <w:sz w:val="20"/>
          <w:szCs w:val="20"/>
        </w:rPr>
        <w:t xml:space="preserve">Este documento reúne, en un solo lugar, la explicación teórica de cada sesión de la unidad y el glosario de términos clave, para tenerlo todo junto al estudiar. No incluye las RA transversales (comunicación asertiva y sostenibilidad), que se trabajan por separado.</w:t>
      </w:r>
    </w:p>
    <w:p>
      <w:pPr>
        <w:pStyle w:val="Heading1"/>
        <w:pBdr>
          <w:bottom w:val="single" w:color="0F766E" w:sz="6" w:space="4"/>
        </w:pBdr>
        <w:spacing w:after="160" w:before="320"/>
      </w:pPr>
      <w:r>
        <w:rPr>
          <w:rFonts w:ascii="Cambria" w:cs="Cambria" w:eastAsia="Cambria" w:hAnsi="Cambria"/>
          <w:b/>
          <w:bCs/>
          <w:color w:val="111827"/>
          <w:sz w:val="26"/>
          <w:szCs w:val="26"/>
        </w:rPr>
        <w:t xml:space="preserve">Contenido teórico</w:t>
      </w:r>
    </w:p>
    <w:p>
      <w:pPr>
        <w:spacing w:after="90" w:before="220"/>
      </w:pPr>
      <w:r>
        <w:rPr>
          <w:rFonts w:ascii="Cambria" w:cs="Cambria" w:eastAsia="Cambria" w:hAnsi="Cambria"/>
          <w:b/>
          <w:bCs/>
          <w:color w:val="0F766E"/>
          <w:sz w:val="20"/>
          <w:szCs w:val="20"/>
        </w:rPr>
        <w:t xml:space="preserve">🧠 RA1 — Identificar técnicas de programación en las que se implementen variables y operadores mediante métodos de conocimiento lógicos algorítmicos</w:t>
      </w:r>
    </w:p>
    <w:p>
      <w:pPr>
        <w:spacing w:after="70" w:before="160"/>
      </w:pPr>
      <w:r>
        <w:rPr>
          <w:rFonts w:ascii="Cambria" w:cs="Cambria" w:eastAsia="Cambria" w:hAnsi="Cambria"/>
          <w:b/>
          <w:bCs/>
          <w:color w:val="111827"/>
          <w:sz w:val="18"/>
          <w:szCs w:val="18"/>
        </w:rPr>
        <w:t xml:space="preserve">1. Métodos de conocimiento: deductivo e inductivo</w:t>
      </w:r>
    </w:p>
    <w:p>
      <w:pPr>
        <w:spacing w:after="160" w:line="300"/>
      </w:pPr>
      <w:r>
        <w:rPr>
          <w:rFonts w:ascii="Calibri" w:cs="Calibri" w:eastAsia="Calibri" w:hAnsi="Calibri"/>
          <w:color w:val="374151"/>
          <w:sz w:val="21"/>
          <w:szCs w:val="21"/>
        </w:rPr>
        <w:t xml:space="preserve">Antes de escribir código, todo programador razona de una de estas dos formas: aplicando una regla que ya conoce (método deductivo) o descubriendo un patrón a partir de la observación (método inductivo). El método deductivo parte de lo general para llegar a un caso particular, con una conclusión segura si la regla es cierta. El método inductivo parte de varios casos particulares para construir una regla general, aunque esa conclusión sea solo probable, no garantizada. En esta sesión aprendemos a reconocer y aplicar ambos.</w:t>
      </w:r>
    </w:p>
    <w:p>
      <w:pPr>
        <w:spacing w:after="70" w:before="160"/>
      </w:pPr>
      <w:r>
        <w:rPr>
          <w:rFonts w:ascii="Cambria" w:cs="Cambria" w:eastAsia="Cambria" w:hAnsi="Cambria"/>
          <w:b/>
          <w:bCs/>
          <w:color w:val="111827"/>
          <w:sz w:val="18"/>
          <w:szCs w:val="18"/>
        </w:rPr>
        <w:t xml:space="preserve">2. Lógica: datos y proposiciones</w:t>
      </w:r>
    </w:p>
    <w:p>
      <w:pPr>
        <w:spacing w:after="160" w:line="300"/>
      </w:pPr>
      <w:r>
        <w:rPr>
          <w:rFonts w:ascii="Calibri" w:cs="Calibri" w:eastAsia="Calibri" w:hAnsi="Calibri"/>
          <w:color w:val="374151"/>
          <w:sz w:val="21"/>
          <w:szCs w:val="21"/>
        </w:rPr>
        <w:t xml:space="preserve">Un dato es simplemente un valor: 5, "Ana", verdadero. Una proposición lógica es distinta: es un enunciado completo que se puede evaluar como verdadero o falso, nunca ambas cosas. Las proposiciones se combinan con tres conectores lógicos — Y, O, NO — para formar proposiciones compuestas, exactamente lo que usamos dentro de un condicional cuando el programa evalúa más de una condición a la vez.</w:t>
      </w:r>
    </w:p>
    <w:p>
      <w:pPr>
        <w:spacing w:after="70" w:before="160"/>
      </w:pPr>
      <w:r>
        <w:rPr>
          <w:rFonts w:ascii="Cambria" w:cs="Cambria" w:eastAsia="Cambria" w:hAnsi="Cambria"/>
          <w:b/>
          <w:bCs/>
          <w:color w:val="111827"/>
          <w:sz w:val="18"/>
          <w:szCs w:val="18"/>
        </w:rPr>
        <w:t xml:space="preserve">3. Algoritmos: preciso, definido, ordenado</w:t>
      </w:r>
    </w:p>
    <w:p>
      <w:pPr>
        <w:spacing w:after="160" w:line="300"/>
      </w:pPr>
      <w:r>
        <w:rPr>
          <w:rFonts w:ascii="Calibri" w:cs="Calibri" w:eastAsia="Calibri" w:hAnsi="Calibri"/>
          <w:color w:val="374151"/>
          <w:sz w:val="21"/>
          <w:szCs w:val="21"/>
        </w:rPr>
        <w:t xml:space="preserve">Un algoritmo es un conjunto ordenado y finito de pasos que resuelve un problema. Para funcionar bien debe cumplir tres características a la vez: ser preciso (cada paso dice exactamente qué hacer), estar definido (no le falta información) y estar ordenado (sigue una secuencia lógica). En esta sesión diseñamos y verificamos algoritmos en pseudocódigo, el puente entre pensar el problema y programarlo.</w:t>
      </w:r>
    </w:p>
    <w:p>
      <w:pPr>
        <w:spacing w:after="70" w:before="160"/>
      </w:pPr>
      <w:r>
        <w:rPr>
          <w:rFonts w:ascii="Cambria" w:cs="Cambria" w:eastAsia="Cambria" w:hAnsi="Cambria"/>
          <w:b/>
          <w:bCs/>
          <w:color w:val="111827"/>
          <w:sz w:val="18"/>
          <w:szCs w:val="18"/>
        </w:rPr>
        <w:t xml:space="preserve">4. Variables y tipos de datos básicos</w:t>
      </w:r>
    </w:p>
    <w:p>
      <w:pPr>
        <w:spacing w:after="160" w:line="300"/>
      </w:pPr>
      <w:r>
        <w:rPr>
          <w:rFonts w:ascii="Calibri" w:cs="Calibri" w:eastAsia="Calibri" w:hAnsi="Calibri"/>
          <w:color w:val="374151"/>
          <w:sz w:val="21"/>
          <w:szCs w:val="21"/>
        </w:rPr>
        <w:t xml:space="preserve">Una variable es un espacio con nombre propio que guarda un valor que puede cambiar mientras el programa se ejecuta, como una caja etiquetada. Cada variable tiene un tipo de dato, que determina qué puede guardar y qué operaciones se pueden hacer con ella. Usar el tipo equivocado es una de las causas más comunes de errores al programar.</w:t>
      </w:r>
    </w:p>
    <w:p>
      <w:pPr>
        <w:spacing w:after="70" w:before="160"/>
      </w:pPr>
      <w:r>
        <w:rPr>
          <w:rFonts w:ascii="Cambria" w:cs="Cambria" w:eastAsia="Cambria" w:hAnsi="Cambria"/>
          <w:b/>
          <w:bCs/>
          <w:color w:val="111827"/>
          <w:sz w:val="18"/>
          <w:szCs w:val="18"/>
        </w:rPr>
        <w:t xml:space="preserve">5. Variables avanzadas: listas y objetos</w:t>
      </w:r>
    </w:p>
    <w:p>
      <w:pPr>
        <w:spacing w:after="160" w:line="300"/>
      </w:pPr>
      <w:r>
        <w:rPr>
          <w:rFonts w:ascii="Calibri" w:cs="Calibri" w:eastAsia="Calibri" w:hAnsi="Calibri"/>
          <w:color w:val="374151"/>
          <w:sz w:val="21"/>
          <w:szCs w:val="21"/>
        </w:rPr>
        <w:t xml:space="preserve">Cuando necesitamos guardar varios valores relacionados, una sola variable no alcanza. Ahí entran las listas (varios valores ordenados bajo un mismo nombre) y los objetos (varias propiedades relacionadas agrupadas, como la ficha de un estudiante). En esta sesión aprendemos a crear y usar ambas estructuras.</w:t>
      </w:r>
    </w:p>
    <w:p>
      <w:pPr>
        <w:spacing w:after="70" w:before="160"/>
      </w:pPr>
      <w:r>
        <w:rPr>
          <w:rFonts w:ascii="Cambria" w:cs="Cambria" w:eastAsia="Cambria" w:hAnsi="Cambria"/>
          <w:b/>
          <w:bCs/>
          <w:color w:val="111827"/>
          <w:sz w:val="18"/>
          <w:szCs w:val="18"/>
        </w:rPr>
        <w:t xml:space="preserve">6. Operadores y cierre del RA1</w:t>
      </w:r>
    </w:p>
    <w:p>
      <w:pPr>
        <w:spacing w:after="160" w:line="300"/>
      </w:pPr>
      <w:r>
        <w:rPr>
          <w:rFonts w:ascii="Calibri" w:cs="Calibri" w:eastAsia="Calibri" w:hAnsi="Calibri"/>
          <w:color w:val="374151"/>
          <w:sz w:val="21"/>
          <w:szCs w:val="21"/>
        </w:rPr>
        <w:t xml:space="preserve">Los operadores permiten construir expresiones y tomar decisiones dentro de un algoritmo: los aritméticos hacen cálculos (+, −, *, /, %), los de comparación comparan dos valores (==, &gt;=, etc.) y los lógicos combinan proposiciones (Y, O, NO). Esta sesión integra todo lo visto en el RA1: métodos de conocimiento, lógica, algoritmos, variables y ahora operadores.</w:t>
      </w:r>
    </w:p>
    <w:p>
      <w:pPr>
        <w:spacing w:after="90" w:before="220"/>
      </w:pPr>
      <w:r>
        <w:rPr>
          <w:rFonts w:ascii="Cambria" w:cs="Cambria" w:eastAsia="Cambria" w:hAnsi="Cambria"/>
          <w:b/>
          <w:bCs/>
          <w:color w:val="0F766E"/>
          <w:sz w:val="20"/>
          <w:szCs w:val="20"/>
        </w:rPr>
        <w:t xml:space="preserve">🔀 RA2 — Diagramas de flujo y pseudocódigo</w:t>
      </w:r>
    </w:p>
    <w:p>
      <w:pPr>
        <w:spacing w:after="70" w:before="160"/>
      </w:pPr>
      <w:r>
        <w:rPr>
          <w:rFonts w:ascii="Cambria" w:cs="Cambria" w:eastAsia="Cambria" w:hAnsi="Cambria"/>
          <w:b/>
          <w:bCs/>
          <w:color w:val="111827"/>
          <w:sz w:val="18"/>
          <w:szCs w:val="18"/>
        </w:rPr>
        <w:t xml:space="preserve">1. Condicional simple: SI / SINO</w:t>
      </w:r>
    </w:p>
    <w:p>
      <w:pPr>
        <w:spacing w:after="160" w:line="300"/>
      </w:pPr>
      <w:r>
        <w:rPr>
          <w:rFonts w:ascii="Calibri" w:cs="Calibri" w:eastAsia="Calibri" w:hAnsi="Calibri"/>
          <w:color w:val="374151"/>
          <w:sz w:val="21"/>
          <w:szCs w:val="21"/>
        </w:rPr>
        <w:t xml:space="preserve">En pseudocódigo, SI evalúa una condición y ejecuta su bloque si es verdadera. SINO (opcional) cubre el caso contrario. La sangría ayuda a identificar qué pertenece a cada bloque. Esta es la primera herramienta para que un algoritmo tome decisiones distintas según los datos que recibe.</w:t>
      </w:r>
    </w:p>
    <w:p>
      <w:pPr>
        <w:spacing w:after="70" w:before="160"/>
      </w:pPr>
      <w:r>
        <w:rPr>
          <w:rFonts w:ascii="Cambria" w:cs="Cambria" w:eastAsia="Cambria" w:hAnsi="Cambria"/>
          <w:b/>
          <w:bCs/>
          <w:color w:val="111827"/>
          <w:sz w:val="18"/>
          <w:szCs w:val="18"/>
        </w:rPr>
        <w:t xml:space="preserve">2. Condicional múltiple: SEGÚN / CASO</w:t>
      </w:r>
    </w:p>
    <w:p>
      <w:pPr>
        <w:spacing w:after="160" w:line="300"/>
      </w:pPr>
      <w:r>
        <w:rPr>
          <w:rFonts w:ascii="Calibri" w:cs="Calibri" w:eastAsia="Calibri" w:hAnsi="Calibri"/>
          <w:color w:val="374151"/>
          <w:sz w:val="21"/>
          <w:szCs w:val="21"/>
        </w:rPr>
        <w:t xml:space="preserve">Cuando hay más de dos opciones posibles para una misma variable (por ejemplo, el día de la semana), usar varios SI/SINO anidados puede volverse confuso. La estructura SEGÚN/CASO ofrece una forma más clara de evaluar un mismo valor contra varias opciones distintas, con un CASO por cada opción y POR DEFECTO para el resto.</w:t>
      </w:r>
    </w:p>
    <w:p>
      <w:pPr>
        <w:spacing w:after="70" w:before="160"/>
      </w:pPr>
      <w:r>
        <w:rPr>
          <w:rFonts w:ascii="Cambria" w:cs="Cambria" w:eastAsia="Cambria" w:hAnsi="Cambria"/>
          <w:b/>
          <w:bCs/>
          <w:color w:val="111827"/>
          <w:sz w:val="18"/>
          <w:szCs w:val="18"/>
        </w:rPr>
        <w:t xml:space="preserve">3. Ciclo MIENTRAS y REPETIR-HASTA</w:t>
      </w:r>
    </w:p>
    <w:p>
      <w:pPr>
        <w:spacing w:after="160" w:line="300"/>
      </w:pPr>
      <w:r>
        <w:rPr>
          <w:rFonts w:ascii="Calibri" w:cs="Calibri" w:eastAsia="Calibri" w:hAnsi="Calibri"/>
          <w:color w:val="374151"/>
          <w:sz w:val="21"/>
          <w:szCs w:val="21"/>
        </w:rPr>
        <w:t xml:space="preserve">Un ciclo repite un bloque de instrucciones sin tener que escribirlo varias veces. MIENTRAS evalúa la condición ANTES de ejecutar el bloque, por lo que puede no ejecutarse ninguna vez. REPETIR-HASTA la evalúa DESPUÉS, garantizando que el bloque se ejecute al menos una vez.</w:t>
      </w:r>
    </w:p>
    <w:p>
      <w:pPr>
        <w:spacing w:after="70" w:before="160"/>
      </w:pPr>
      <w:r>
        <w:rPr>
          <w:rFonts w:ascii="Cambria" w:cs="Cambria" w:eastAsia="Cambria" w:hAnsi="Cambria"/>
          <w:b/>
          <w:bCs/>
          <w:color w:val="111827"/>
          <w:sz w:val="18"/>
          <w:szCs w:val="18"/>
        </w:rPr>
        <w:t xml:space="preserve">4. Ciclo PARA y PARA CADA</w:t>
      </w:r>
    </w:p>
    <w:p>
      <w:pPr>
        <w:spacing w:after="160" w:line="300"/>
      </w:pPr>
      <w:r>
        <w:rPr>
          <w:rFonts w:ascii="Calibri" w:cs="Calibri" w:eastAsia="Calibri" w:hAnsi="Calibri"/>
          <w:color w:val="374151"/>
          <w:sz w:val="21"/>
          <w:szCs w:val="21"/>
        </w:rPr>
        <w:t xml:space="preserve">Cuando ya sabemos cuántas veces se debe repetir algo, PARA (con un contador DESDE-HASTA) es la herramienta ideal. Cuando queremos recorrer cada elemento de una lista sin manejar un índice manual, PARA CADA lo hace directamente.</w:t>
      </w:r>
    </w:p>
    <w:p>
      <w:pPr>
        <w:spacing w:after="70" w:before="160"/>
      </w:pPr>
      <w:r>
        <w:rPr>
          <w:rFonts w:ascii="Cambria" w:cs="Cambria" w:eastAsia="Cambria" w:hAnsi="Cambria"/>
          <w:b/>
          <w:bCs/>
          <w:color w:val="111827"/>
          <w:sz w:val="18"/>
          <w:szCs w:val="18"/>
        </w:rPr>
        <w:t xml:space="preserve">5. Selección del ciclo adecuado según el problema</w:t>
      </w:r>
    </w:p>
    <w:p>
      <w:pPr>
        <w:spacing w:after="160" w:line="300"/>
      </w:pPr>
      <w:r>
        <w:rPr>
          <w:rFonts w:ascii="Calibri" w:cs="Calibri" w:eastAsia="Calibri" w:hAnsi="Calibri"/>
          <w:color w:val="374151"/>
          <w:sz w:val="21"/>
          <w:szCs w:val="21"/>
        </w:rPr>
        <w:t xml:space="preserve">No todos los ciclos sirven igual para todos los problemas. Antes de diseñar un algoritmo, conviene analizar: ¿sabemos de antemano cuántas veces repetir (PARA)? ¿depende de una condición que puede cambiar (MIENTRAS/REPETIR-HASTA)? ¿queremos recorrer una colección completa (PARA CADA)?</w:t>
      </w:r>
    </w:p>
    <w:p>
      <w:pPr>
        <w:spacing w:after="70" w:before="160"/>
      </w:pPr>
      <w:r>
        <w:rPr>
          <w:rFonts w:ascii="Cambria" w:cs="Cambria" w:eastAsia="Cambria" w:hAnsi="Cambria"/>
          <w:b/>
          <w:bCs/>
          <w:color w:val="111827"/>
          <w:sz w:val="18"/>
          <w:szCs w:val="18"/>
        </w:rPr>
        <w:t xml:space="preserve">6. Estructuras de datos: pilas y colas</w:t>
      </w:r>
    </w:p>
    <w:p>
      <w:pPr>
        <w:spacing w:after="160" w:line="300"/>
      </w:pPr>
      <w:r>
        <w:rPr>
          <w:rFonts w:ascii="Calibri" w:cs="Calibri" w:eastAsia="Calibri" w:hAnsi="Calibri"/>
          <w:color w:val="374151"/>
          <w:sz w:val="21"/>
          <w:szCs w:val="21"/>
        </w:rPr>
        <w:t xml:space="preserve">Una pila sigue el principio LIFO (último en entrar, primero en salir), con las operaciones APILAR y DESAPILAR — como una pila de platos. Una cola sigue FIFO (primero en entrar, primero en salir), con ENCOLAR y DESENCOLAR — como una fila de personas. Elegir una u otra depende del orden que necesite el problema.</w:t>
      </w:r>
    </w:p>
    <w:p>
      <w:pPr>
        <w:spacing w:after="70" w:before="160"/>
      </w:pPr>
      <w:r>
        <w:rPr>
          <w:rFonts w:ascii="Cambria" w:cs="Cambria" w:eastAsia="Cambria" w:hAnsi="Cambria"/>
          <w:b/>
          <w:bCs/>
          <w:color w:val="111827"/>
          <w:sz w:val="18"/>
          <w:szCs w:val="18"/>
        </w:rPr>
        <w:t xml:space="preserve">7. Matrices y estructuras de datos anidadas</w:t>
      </w:r>
    </w:p>
    <w:p>
      <w:pPr>
        <w:spacing w:after="160" w:line="300"/>
      </w:pPr>
      <w:r>
        <w:rPr>
          <w:rFonts w:ascii="Calibri" w:cs="Calibri" w:eastAsia="Calibri" w:hAnsi="Calibri"/>
          <w:color w:val="374151"/>
          <w:sz w:val="21"/>
          <w:szCs w:val="21"/>
        </w:rPr>
        <w:t xml:space="preserve">Una matriz organiza datos en filas y columnas: es, en el fondo, una lista de listas. Se accede a cada elemento indicando primero la fila y luego la columna. Es la estructura natural para representar tablas de datos, como una hoja de calificaciones.</w:t>
      </w:r>
    </w:p>
    <w:p>
      <w:pPr>
        <w:spacing w:after="70" w:before="160"/>
      </w:pPr>
      <w:r>
        <w:rPr>
          <w:rFonts w:ascii="Cambria" w:cs="Cambria" w:eastAsia="Cambria" w:hAnsi="Cambria"/>
          <w:b/>
          <w:bCs/>
          <w:color w:val="111827"/>
          <w:sz w:val="18"/>
          <w:szCs w:val="18"/>
        </w:rPr>
        <w:t xml:space="preserve">8. Subrutinas e integración: cierre del RA2</w:t>
      </w:r>
    </w:p>
    <w:p>
      <w:pPr>
        <w:spacing w:after="160" w:line="300"/>
      </w:pPr>
      <w:r>
        <w:rPr>
          <w:rFonts w:ascii="Calibri" w:cs="Calibri" w:eastAsia="Calibri" w:hAnsi="Calibri"/>
          <w:color w:val="374151"/>
          <w:sz w:val="21"/>
          <w:szCs w:val="21"/>
        </w:rPr>
        <w:t xml:space="preserve">Una subrutina agrupa pasos reutilizables bajo un nombre propio: puede recibir parámetros de entrada y devolver un resultado con DEVOLVER, evitando repetir el mismo bloque de pasos varias veces en el algoritmo. Esta sesión integra todo lo visto en el RA2 — condicionales, ciclos, pilas y colas, matrices y subrutinas — en un solo algoritmo completo.</w:t>
      </w:r>
    </w:p>
    <w:p>
      <w:pPr>
        <w:spacing w:after="90" w:before="220"/>
      </w:pPr>
      <w:r>
        <w:rPr>
          <w:rFonts w:ascii="Cambria" w:cs="Cambria" w:eastAsia="Cambria" w:hAnsi="Cambria"/>
          <w:b/>
          <w:bCs/>
          <w:color w:val="0F766E"/>
          <w:sz w:val="20"/>
          <w:szCs w:val="20"/>
        </w:rPr>
        <w:t xml:space="preserve">🔒 RA3 — Diseñar procesos de desarrollo seguro implementando procesos de gestión de la seguridad informática</w:t>
      </w:r>
    </w:p>
    <w:p>
      <w:pPr>
        <w:spacing w:after="70" w:before="160"/>
      </w:pPr>
      <w:r>
        <w:rPr>
          <w:rFonts w:ascii="Cambria" w:cs="Cambria" w:eastAsia="Cambria" w:hAnsi="Cambria"/>
          <w:b/>
          <w:bCs/>
          <w:color w:val="111827"/>
          <w:sz w:val="18"/>
          <w:szCs w:val="18"/>
        </w:rPr>
        <w:t xml:space="preserve">1. Introducción al SGSI: qué es y para qué sirve</w:t>
      </w:r>
    </w:p>
    <w:p>
      <w:pPr>
        <w:spacing w:after="160" w:line="300"/>
      </w:pPr>
      <w:r>
        <w:rPr>
          <w:rFonts w:ascii="Calibri" w:cs="Calibri" w:eastAsia="Calibri" w:hAnsi="Calibri"/>
          <w:color w:val="374151"/>
          <w:sz w:val="21"/>
          <w:szCs w:val="21"/>
        </w:rPr>
        <w:t xml:space="preserve">Un Sistema de Gestión de la Seguridad Informática (SGSI) es el conjunto de procesos que una organización sigue para proteger su información de forma continua, no como algo que se hace una sola vez. Se compone de 4 procesos: planificación, implementación, verificación y actualización.</w:t>
      </w:r>
    </w:p>
    <w:p>
      <w:pPr>
        <w:spacing w:after="70" w:before="160"/>
      </w:pPr>
      <w:r>
        <w:rPr>
          <w:rFonts w:ascii="Cambria" w:cs="Cambria" w:eastAsia="Cambria" w:hAnsi="Cambria"/>
          <w:b/>
          <w:bCs/>
          <w:color w:val="111827"/>
          <w:sz w:val="18"/>
          <w:szCs w:val="18"/>
        </w:rPr>
        <w:t xml:space="preserve">2. Proceso de planificación de la seguridad informática</w:t>
      </w:r>
    </w:p>
    <w:p>
      <w:pPr>
        <w:spacing w:after="160" w:line="300"/>
      </w:pPr>
      <w:r>
        <w:rPr>
          <w:rFonts w:ascii="Calibri" w:cs="Calibri" w:eastAsia="Calibri" w:hAnsi="Calibri"/>
          <w:color w:val="374151"/>
          <w:sz w:val="21"/>
          <w:szCs w:val="21"/>
        </w:rPr>
        <w:t xml:space="preserve">El primer paso de un plan de seguridad informática es definir su alcance: qué partes del sistema se van a proteger, y de qué amenazas. No es lo mismo proteger una app de notas escolares que una app bancaria.</w:t>
      </w:r>
    </w:p>
    <w:p>
      <w:pPr>
        <w:spacing w:after="70" w:before="160"/>
      </w:pPr>
      <w:r>
        <w:rPr>
          <w:rFonts w:ascii="Cambria" w:cs="Cambria" w:eastAsia="Cambria" w:hAnsi="Cambria"/>
          <w:b/>
          <w:bCs/>
          <w:color w:val="111827"/>
          <w:sz w:val="18"/>
          <w:szCs w:val="18"/>
        </w:rPr>
        <w:t xml:space="preserve">3. Políticas, responsabilidades y medidas de seguridad</w:t>
      </w:r>
    </w:p>
    <w:p>
      <w:pPr>
        <w:spacing w:after="160" w:line="300"/>
      </w:pPr>
      <w:r>
        <w:rPr>
          <w:rFonts w:ascii="Calibri" w:cs="Calibri" w:eastAsia="Calibri" w:hAnsi="Calibri"/>
          <w:color w:val="374151"/>
          <w:sz w:val="21"/>
          <w:szCs w:val="21"/>
        </w:rPr>
        <w:t xml:space="preserve">Un plan de seguridad no solo dice QUÉ proteger, sino también CÓMO: mediante políticas (reglas generales), responsabilidades (quién las ejecuta) y medidas (acciones concretas). Los tres elementos deben estar claramente conectados entre sí.</w:t>
      </w:r>
    </w:p>
    <w:p>
      <w:pPr>
        <w:spacing w:after="70" w:before="160"/>
      </w:pPr>
      <w:r>
        <w:rPr>
          <w:rFonts w:ascii="Cambria" w:cs="Cambria" w:eastAsia="Cambria" w:hAnsi="Cambria"/>
          <w:b/>
          <w:bCs/>
          <w:color w:val="111827"/>
          <w:sz w:val="18"/>
          <w:szCs w:val="18"/>
        </w:rPr>
        <w:t xml:space="preserve">4. Procesos de verificación y actualización</w:t>
      </w:r>
    </w:p>
    <w:p>
      <w:pPr>
        <w:spacing w:after="160" w:line="300"/>
      </w:pPr>
      <w:r>
        <w:rPr>
          <w:rFonts w:ascii="Calibri" w:cs="Calibri" w:eastAsia="Calibri" w:hAnsi="Calibri"/>
          <w:color w:val="374151"/>
          <w:sz w:val="21"/>
          <w:szCs w:val="21"/>
        </w:rPr>
        <w:t xml:space="preserve">La seguridad informática no es un proceso de una sola vez: las amenazas cambian, y lo que era seguro ayer puede no serlo hoy. Por eso todo plan de seguridad necesita procesos de verificación y actualización de forma periódica.</w:t>
      </w:r>
    </w:p>
    <w:p>
      <w:pPr>
        <w:spacing w:after="70" w:before="160"/>
      </w:pPr>
      <w:r>
        <w:rPr>
          <w:rFonts w:ascii="Cambria" w:cs="Cambria" w:eastAsia="Cambria" w:hAnsi="Cambria"/>
          <w:b/>
          <w:bCs/>
          <w:color w:val="111827"/>
          <w:sz w:val="18"/>
          <w:szCs w:val="18"/>
        </w:rPr>
        <w:t xml:space="preserve">5. Buenas prácticas: manual de instalación segura</w:t>
      </w:r>
    </w:p>
    <w:p>
      <w:pPr>
        <w:spacing w:after="160" w:line="300"/>
      </w:pPr>
      <w:r>
        <w:rPr>
          <w:rFonts w:ascii="Calibri" w:cs="Calibri" w:eastAsia="Calibri" w:hAnsi="Calibri"/>
          <w:color w:val="374151"/>
          <w:sz w:val="21"/>
          <w:szCs w:val="21"/>
        </w:rPr>
        <w:t xml:space="preserve">Instalar software de forma segura implica más que solo hacer clic en "siguiente": hay que verificar la fuente del programa, revisar qué permisos solicita, y mantener el sistema actualizado. Documentar este proceso en un manual permite que cualquier persona lo repita correctamente.</w:t>
      </w:r>
    </w:p>
    <w:p>
      <w:pPr>
        <w:spacing w:after="70" w:before="160"/>
      </w:pPr>
      <w:r>
        <w:rPr>
          <w:rFonts w:ascii="Cambria" w:cs="Cambria" w:eastAsia="Cambria" w:hAnsi="Cambria"/>
          <w:b/>
          <w:bCs/>
          <w:color w:val="111827"/>
          <w:sz w:val="18"/>
          <w:szCs w:val="18"/>
        </w:rPr>
        <w:t xml:space="preserve">6. Instalación y configuración segura: práctica guiada</w:t>
      </w:r>
    </w:p>
    <w:p>
      <w:pPr>
        <w:spacing w:after="160" w:line="300"/>
      </w:pPr>
      <w:r>
        <w:rPr>
          <w:rFonts w:ascii="Calibri" w:cs="Calibri" w:eastAsia="Calibri" w:hAnsi="Calibri"/>
          <w:color w:val="374151"/>
          <w:sz w:val="21"/>
          <w:szCs w:val="21"/>
        </w:rPr>
        <w:t xml:space="preserve">Se ponen en práctica las buenas prácticas de instalación segura, completando el manual con el proceso real de instalación y configuración de un programa en un entorno controlado.</w:t>
      </w:r>
    </w:p>
    <w:p>
      <w:pPr>
        <w:spacing w:after="70" w:before="160"/>
      </w:pPr>
      <w:r>
        <w:rPr>
          <w:rFonts w:ascii="Cambria" w:cs="Cambria" w:eastAsia="Cambria" w:hAnsi="Cambria"/>
          <w:b/>
          <w:bCs/>
          <w:color w:val="111827"/>
          <w:sz w:val="18"/>
          <w:szCs w:val="18"/>
        </w:rPr>
        <w:t xml:space="preserve">7. Estructura completa de un plan de seguridad informática</w:t>
      </w:r>
    </w:p>
    <w:p>
      <w:pPr>
        <w:spacing w:after="160" w:line="300"/>
      </w:pPr>
      <w:r>
        <w:rPr>
          <w:rFonts w:ascii="Calibri" w:cs="Calibri" w:eastAsia="Calibri" w:hAnsi="Calibri"/>
          <w:color w:val="374151"/>
          <w:sz w:val="21"/>
          <w:szCs w:val="21"/>
        </w:rPr>
        <w:t xml:space="preserve">Todos los elementos trabajados hasta ahora — alcance, políticas, responsabilidades, medidas, verificación, actualización — se integran en un solo documento: la estructura completa de un plan de seguridad informática.</w:t>
      </w:r>
    </w:p>
    <w:p>
      <w:pPr>
        <w:spacing w:after="70" w:before="160"/>
      </w:pPr>
      <w:r>
        <w:rPr>
          <w:rFonts w:ascii="Cambria" w:cs="Cambria" w:eastAsia="Cambria" w:hAnsi="Cambria"/>
          <w:b/>
          <w:bCs/>
          <w:color w:val="111827"/>
          <w:sz w:val="18"/>
          <w:szCs w:val="18"/>
        </w:rPr>
        <w:t xml:space="preserve">8. Cierre del RA3: manual final y evidencia</w:t>
      </w:r>
    </w:p>
    <w:p>
      <w:pPr>
        <w:spacing w:after="160" w:line="300"/>
      </w:pPr>
      <w:r>
        <w:rPr>
          <w:rFonts w:ascii="Calibri" w:cs="Calibri" w:eastAsia="Calibri" w:hAnsi="Calibri"/>
          <w:color w:val="374151"/>
          <w:sz w:val="21"/>
          <w:szCs w:val="21"/>
        </w:rPr>
        <w:t xml:space="preserve">Esta sesión cierra el RA3 con la versión final del manual de instalación segura, incorporando la retroalimentación recibida, y consolida la evidencia final: el manual completo, verificado por un compañero que lo siguió paso a paso.</w:t>
      </w:r>
    </w:p>
    <w:p>
      <w:pPr>
        <w:pStyle w:val="Heading1"/>
        <w:pBdr>
          <w:bottom w:val="single" w:color="0F766E" w:sz="6" w:space="4"/>
        </w:pBdr>
        <w:spacing w:after="160" w:before="320"/>
      </w:pPr>
      <w:r>
        <w:rPr>
          <w:rFonts w:ascii="Cambria" w:cs="Cambria" w:eastAsia="Cambria" w:hAnsi="Cambria"/>
          <w:b/>
          <w:bCs/>
          <w:color w:val="111827"/>
          <w:sz w:val="26"/>
          <w:szCs w:val="26"/>
        </w:rPr>
        <w:t xml:space="preserve">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11827" w:val="clear"/>
            <w:tcMar>
              <w:top w:type="dxa" w:w="90"/>
              <w:left w:type="dxa" w:w="120"/>
              <w:bottom w:type="dxa" w:w="90"/>
              <w:right w:type="dxa" w:w="120"/>
            </w:tcMar>
          </w:tcPr>
          <w:p>
            <w:r>
              <w:rPr>
                <w:rFonts w:ascii="Cambria" w:cs="Cambria" w:eastAsia="Cambria" w:hAnsi="Cambria"/>
                <w:b/>
                <w:bCs/>
                <w:color w:val="FFFFFF"/>
                <w:sz w:val="18"/>
                <w:szCs w:val="18"/>
              </w:rPr>
              <w:t xml:space="preserve">Término</w:t>
            </w:r>
          </w:p>
        </w:tc>
        <w:tc>
          <w:tcPr>
            <w:tcW w:type="dxa" w:w="6760"/>
            <w:shd w:fill="111827" w:val="clear"/>
            <w:tcMar>
              <w:top w:type="dxa" w:w="90"/>
              <w:left w:type="dxa" w:w="120"/>
              <w:bottom w:type="dxa" w:w="90"/>
              <w:right w:type="dxa" w:w="120"/>
            </w:tcMar>
          </w:tcPr>
          <w:p>
            <w:r>
              <w:rPr>
                <w:rFonts w:ascii="Cambria" w:cs="Cambria" w:eastAsia="Cambria" w:hAnsi="Cambria"/>
                <w:b/>
                <w:bCs/>
                <w:color w:val="FFFFFF"/>
                <w:sz w:val="18"/>
                <w:szCs w:val="18"/>
              </w:rPr>
              <w:t xml:space="preserve">Definición</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Algoritmo</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Conjunto ordenado y finito de pasos que resuelve un problema o realiza una tarea, aplicando las características de ser preciso, definido y ordenado.</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Arreglo / Lista</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de datos que almacena varios valores bajo un mismo nombre, accesibles mediante una posición (índice).</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Cola</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de datos que sigue el principio FIFO (primero en entrar, primero en salir), con las operaciones ENCOLAR y DESENCOLAR.</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Comunicación asertiva</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Forma de expresar ideas, sentimientos y necesidades de manera clara, directa y respetuosa, sin caer en la agresividad ni en la pasividad.</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Condicional (SI/SINO, SEGÚN/CASO)</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de control que permite ejecutar distintas instrucciones según se cumpla o no una condición.</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Ciclo (MIENTRAS, REPETIR-HASTA, PARA, PARA CADA)</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de control que repite un bloque de instrucciones mientras se cumple una condición o durante un número definido de veces.</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Dato</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Valor concreto que puede almacenarse y procesarse (un número, un texto, un valor lógico, entre otros).</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Matriz</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de datos que organiza valores en filas y columnas; una lista de listas.</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Método deductivo</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Forma de razonamiento que parte de una regla o principio general para aplicarlo a un caso particular.</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Método inductivo</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Forma de razonamiento que parte de la observación de varios casos particulares para llegar a una conclusión o regla general.</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Objeto</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Conjunto de propiedades relacionadas agrupadas bajo un mismo nombre, como la ficha de datos de un estudiante.</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Operador aritmético</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Símbolo que representa una operación matemática entre valores: suma (+), resta (−), multiplicación (*), división (/), módulo (%).</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Operador de comparación</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Símbolo que compara dos valores y devuelve verdadero o falso: igual (==), diferente (!=), mayor (&gt;), menor (&lt;), entre otros.</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Operador lógico</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Símbolo o palabra que combina proposiciones lógicas: Y, O, NO.</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Pila</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de datos que sigue el principio LIFO (último en entrar, primero en salir), con las operaciones APILAR y DESAPILAR.</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Plan de seguridad informática</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Documento que define el alcance, las políticas, responsabilidades, medidas y procedimientos para proteger la información de una organización.</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Política de seguridad</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Regla general que establece cómo debe protegerse la información o los sistemas dentro de una organización.</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Proposición lógica</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Afirmación que puede evaluarse como verdadera o falsa, pero no ambas cosas a la vez.</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Pseudocódigo</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Forma de escribir un algoritmo en lenguaje cercano al humano, sin la sintaxis estricta de un lenguaje de programación, para planificar un programa antes de codificarlo.</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SGSI (Sistema de Gestión de la Seguridad Informática)</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Conjunto de procesos de planificación, implementación, verificación y actualización que una organización sigue para proteger su información de forma continua.</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Sostenibilidad energética</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Capacidad de garantizar el acceso a energía fiable y moderna para todas las personas, cuidando su uso responsable a largo plazo.</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Subrutina</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Bloque de pasos con nombre propio que puede recibir parámetros y devolver un resultado, permitiendo reutilizar código sin repetirlo.</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Tipo de dato</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Clasificación que indica qué clase de valor puede almacenar una variable: cadena (texto), entero (número sin decimales), lógico o booleano (verdadero/falso), entre otros.</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Variable</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Espacio con nombre propio que almacena un valor de un tipo de dato específico, y que puede cambiar durante la ejecución de un programa.</w:t>
            </w:r>
          </w:p>
        </w:tc>
      </w:tr>
    </w:tbl>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5"/>
        <w:szCs w:val="15"/>
      </w:rPr>
      <w:t xml:space="preserve">CTP Mercedes Norte  ·  Especialidad de Ciberseguridad  ·  Material de Estudio — Unidad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2026-09-27T01:30:58.420Z</dcterms:created>
  <dcterms:modified xsi:type="dcterms:W3CDTF">2026-09-27T01:30:58.430Z</dcterms:modified>
</cp:coreProperties>
</file>

<file path=docProps/custom.xml><?xml version="1.0" encoding="utf-8"?>
<Properties xmlns="http://schemas.openxmlformats.org/officeDocument/2006/custom-properties" xmlns:vt="http://schemas.openxmlformats.org/officeDocument/2006/docPropsVTypes"/>
</file>