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20" w:before="0" w:line="340" w:lineRule="exact"/>
            </w:pPr>
            <w:r>
              <w:rPr>
                <w:rFonts w:ascii="Arial" w:hAnsi="Arial"/>
                <w:b/>
                <w:color w:val="6B6ACB"/>
                <w:sz w:val="26"/>
              </w:rPr>
              <w:t>Kweichow Moutai Co., Ltd. | SH | 600519</w:t>
            </w:r>
          </w:p>
          <w:p>
            <w:pPr>
              <w:widowControl w:val="0"/>
              <w:spacing w:after="260" w:before="0" w:line="560" w:lineRule="exact"/>
            </w:pPr>
            <w:r>
              <w:rPr>
                <w:rFonts w:ascii="Segoe UI Light" w:hAnsi="Segoe UI Light"/>
                <w:b w:val="0"/>
                <w:sz w:val="46"/>
              </w:rPr>
              <w:t>Financial performance and cash value</w:t>
            </w:r>
          </w:p>
          <w:p>
            <w:pPr>
              <w:widowControl w:val="0"/>
              <w:spacing w:after="180" w:before="0" w:line="300" w:lineRule="exact"/>
            </w:pPr>
            <w:r>
              <w:rPr>
                <w:rFonts w:ascii="Arial" w:hAnsi="Arial"/>
                <w:b w:val="0"/>
                <w:sz w:val="21"/>
              </w:rPr>
              <w:t>This report connects reported profitability and cash conversion with transparent reinvestment and equity-bridge assumptions. The base case gives CNY 722.44 per share, compared with the dated close of CNY 1,258.62. These are conditional DCF values, not an investment rating.</w:t>
            </w:r>
          </w:p>
          <w:p>
            <w:pPr>
              <w:widowControl w:val="0"/>
              <w:spacing w:after="100" w:before="0" w:line="275" w:lineRule="exact"/>
            </w:pPr>
            <w:r>
              <w:rPr>
                <w:rFonts w:ascii="Arial" w:hAnsi="Arial"/>
                <w:b/>
                <w:sz w:val="22"/>
              </w:rPr>
              <w:t>Key takeaways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Latest annual revenue CNY 172,054.2 million; EBIT margin 66.3%; parent net margin 47.8%. Fiscal end 2025-12-31.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Parent ROE 34.5%; CFO / parent profit 0.75x. Scope-matched average parent equity supports the DuPont identity.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Dated close CNY 1,258.62 on 2026-09-30. FX 1.000000 CNY per CNY, dated 2026-09-30.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Bull CNY 912.15, base CNY 722.44, bear CNY 559.34 per share; base upside / downside -42.6%.</w:t>
            </w:r>
          </w:p>
          <w:p>
            <w:pPr>
              <w:widowControl w:val="0"/>
              <w:spacing w:after="140" w:before="0" w:line="250" w:lineRule="exact"/>
            </w:pPr>
            <w:r>
              <w:rPr>
                <w:rFonts w:ascii="Arial" w:hAnsi="Arial"/>
                <w:b w:val="0"/>
                <w:sz w:val="18"/>
              </w:rPr>
              <w:t>• WACC 10.0%; perpetual growth 2.0%; stable ROIC 12.0%; terminal / EV 68.6%. Operating reserve CNY 17,205.4 million is an explicit assumption.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Financial feeds, operating-profit definitions and forecast assumptions require issuer-filing review. The report does not establish verified fair value. Annual balances and shares are frozen; subsequent distributions, financing and dilution are not automatically bridged.</w:t>
            </w:r>
          </w:p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Public-data research draft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Observed figures and calculated values are distinguished from generic scenario assumptions. No assured target price is assigned.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1700"/>
              <w:gridCol w:w="2040"/>
            </w:tblGrid>
            <w:tr>
              <w:trPr>
                <w:cantSplit/>
                <w:tblHeader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Security / valuation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Ticker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600519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Analysis date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2026-10-03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Dated close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CNY 1,258.62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Base DCF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CNY 722.44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DCF / close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-42.6%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Bear / bull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559.34 / 912.15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WACC / g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10.0% / 2.0%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Terminal / EV</w:t>
                  </w:r>
                </w:p>
              </w:tc>
              <w:tc>
                <w:tcPr>
                  <w:tcW w:type="dxa" w:w="20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68.6%</w:t>
                  </w:r>
                </w:p>
              </w:tc>
            </w:tr>
          </w:tbl>
          <w:p/>
          <w:p>
            <w:pPr>
              <w:widowControl w:val="0"/>
              <w:spacing w:after="100" w:before="0" w:line="225" w:lineRule="exact"/>
            </w:pPr>
            <w:r>
              <w:rPr>
                <w:rFonts w:ascii="Arial" w:hAnsi="Arial"/>
                <w:b/>
                <w:sz w:val="18"/>
              </w:rPr>
              <w:t>Snapshot dates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Annual anchor 2025-12-31; stock close 2026-09-30. Reporting currency CNY; trading currency CNY. Current balances are not implied.</w:t>
            </w:r>
          </w:p>
          <w:p>
            <w:pPr>
              <w:widowControl w:val="0"/>
              <w:spacing w:after="100" w:before="0" w:line="225" w:lineRule="exact"/>
            </w:pPr>
            <w:r>
              <w:rPr>
                <w:rFonts w:ascii="Arial" w:hAnsi="Arial"/>
                <w:b/>
                <w:sz w:val="18"/>
              </w:rPr>
              <w:t>Bridge proxies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Cash and recognized short investments less operating reserve, debt, senior claims and book NCI. Unrecognized long-term stakes require separate review.</w:t>
            </w:r>
          </w:p>
          <w:p>
            <w:pPr>
              <w:widowControl w:val="0"/>
              <w:spacing w:after="140" w:before="0" w:line="164" w:lineRule="exact"/>
            </w:pPr>
            <w:r>
              <w:rPr>
                <w:rFonts w:ascii="Arial" w:hAnsi="Arial"/>
                <w:b w:val="0"/>
                <w:color w:val="666666"/>
                <w:sz w:val="14"/>
              </w:rPr>
              <w:t xml:space="preserve">Sources: frozen public financial feeds and matched SEC tags where available. Secondary fields require filing review. Amounts are reporting-currency millions unless stated. </w:t>
            </w:r>
          </w:p>
        </w:tc>
      </w:tr>
    </w:tbl>
    <w:p>
      <w:pPr>
        <w:spacing w:after="0" w:before="0" w:line="20" w:lineRule="exact"/>
        <w:sectPr>
          <w:headerReference w:type="default" r:id="rId9"/>
          <w:footerReference w:type="default" r:id="rId10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Why profitability and cash conversion changed</w:t>
      </w:r>
    </w:p>
    <w:p>
      <w:pPr>
        <w:widowControl w:val="0"/>
        <w:spacing w:after="180" w:before="0" w:line="360" w:lineRule="exact"/>
      </w:pPr>
      <w:r>
        <w:rPr>
          <w:rFonts w:ascii="Arial" w:hAnsi="Arial"/>
          <w:b w:val="0"/>
          <w:sz w:val="22"/>
        </w:rPr>
        <w:t>The packet shows revenue rising through 2024, then declining to CNY 172,054.2 million in 2025 from CNY 174,144.1 million in 2024 [F03][F04]. EBIT margin was stable around 67.7-67.9% from 2022 to 2024, then eased to 66.3% in 2025 [F01][F02][F03][F04]. Parent net margin followed a similar path, while parent ROE fell to 34.5% in 2025 from 38.4% in 2024 [F03][F04]. Cash conversion, measured by CFO/parent profit, improved from 0.59x in 2022 to 1.07x in 2024 before weakening to 0.75x in 2025 [F01][F02][F03][F04]. The packet lacks segment, order, product, price, or cost-line evidence, so we cannot confidently attribute the margin and cash-conversion shifts to demand, pricing, mix, AI, or cost controls. Evidence that would distinguish these explanations includes disaggregated revenue by product/segment, volume and price data, order backlog, cost breakdowns, working capital line items (receivables, inventory, payables, deferred revenue/contract liabilities), and a cash flow statement reconciliation. The trade NWC proxy omits prepayments, contract assets and customer advances, and vendor operating-profit definitions may include investment or finance items, requiring filing reconciliation [L01]. Secondary feeds remain unverified [L01]. Without that evidence, the observed changes are descriptions, not causal attributions.</w:t>
      </w:r>
    </w:p>
    <w:p>
      <w:pPr>
        <w:widowControl w:val="0"/>
        <w:spacing w:after="100" w:before="0" w:line="250" w:lineRule="exact"/>
      </w:pPr>
      <w:r>
        <w:rPr>
          <w:rFonts w:ascii="Arial" w:hAnsi="Arial"/>
          <w:b/>
          <w:sz w:val="20"/>
        </w:rPr>
        <w:t>Evidence and calculation references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[F01] to [F04] identify chronological annual periods in the appendix.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[C01] Calculated DCF values and price comparison. [A01] Explicit assumptions and equity bridge.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[X01] Dated currency conversion. [L01] Source, accounting and model limitations. Full field references are retained in the evidence package.</w:t>
      </w:r>
    </w:p>
    <w:p>
      <w:pPr>
        <w:spacing w:after="0" w:before="0" w:line="20" w:lineRule="exact"/>
        <w:sectPr>
          <w:footerReference w:type="default" r:id="rId12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How cash allocation, reinvestment and valuation assumptions affect value</w:t>
      </w:r>
    </w:p>
    <w:p>
      <w:pPr>
        <w:widowControl w:val="0"/>
        <w:spacing w:after="180" w:before="0" w:line="360" w:lineRule="exact"/>
      </w:pPr>
      <w:r>
        <w:rPr>
          <w:rFonts w:ascii="Arial" w:hAnsi="Arial"/>
          <w:b w:val="0"/>
          <w:sz w:val="22"/>
        </w:rPr>
        <w:t>The DCF is an explicit assumption, not a forecast [C01]. The base value is CNY 722.44/share, bull CNY 912.15/share, bear CNY 559.34/share, versus a close of CNY 1,258.62/share on 2026-09-30; base upside is -42.6% [C01]. Because the base DCF is below the close, the model implies a discount to market value, not a premium [C01]. Terminal EV is 68.6% of value, so terminal assumptions are material [C01]. The model uses WACC 10.0%, perpetual growth 2.0%, stable ROIC 12.0%, revenue growth -1.2%, EBIT margin 66.3%, tax rate 25.7%, D&amp;A ratio 1.3%, capex ratio 1.8%, and NWC ratio 33.4% [A01]. Scenario policy adjusts growth, margin, capex and NWC ratio [A01]. Cash allocation and reinvestment affect value through the annual bridge: cash CNY 51,690.6 million, investments CNY 0.0 million, operating cash reserve CNY 17,205.4 million, debt CNY 233.7 million, NCI CNY 9,321.4 million, and shares 1,252.270 million [A01]. However, these are frozen annual balances [L01]. Investments default to zero as policy, not fact [L01]. NCI is deducted at book value, not fair value [L01]. Post-anchor dividends, buybacks, financing and dilution are not bridged [L01]. Reporting and quote currency are both CNY at 1.000000 [X01]. Scenario values are assumptions, not probabilities or share-price forecasts [C01]. The net bridge is CNY 19.91/share [C01], but it does not offset these limitations.</w:t>
      </w:r>
    </w:p>
    <w:p>
      <w:pPr>
        <w:widowControl w:val="0"/>
        <w:spacing w:after="100" w:before="0" w:line="250" w:lineRule="exact"/>
      </w:pPr>
      <w:r>
        <w:rPr>
          <w:rFonts w:ascii="Arial" w:hAnsi="Arial"/>
          <w:b/>
          <w:sz w:val="20"/>
        </w:rPr>
        <w:t>Evidence and calculation references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[F01] to [F04] identify chronological annual periods in the appendix.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[C01] Calculated DCF values and price comparison. [A01] Explicit assumptions and equity bridge.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6"/>
        </w:rPr>
        <w:t>[X01] Dated currency conversion. [L01] Source, accounting and model limitations. Full field references are retained in the evidence package.</w:t>
      </w:r>
    </w:p>
    <w:p>
      <w:pPr>
        <w:spacing w:after="0" w:before="0" w:line="20" w:lineRule="exact"/>
        <w:sectPr>
          <w:footerReference w:type="default" r:id="rId14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Issuer scope and reporting comparability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9"/>
              </w:rPr>
              <w:t>The selected security is Kweichow Moutai Co., Ltd., SH 600519. The report uses 4 annual observations; it does not substitute a parent group or another listing.</w:t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9"/>
              </w:rPr>
              <w:t>SEC-matched periods use actual filing fiscal ends. Other observations retain the vendor period and source status. Publication cutoffs, restatements, mergers and accounting definitions require issuer reconciliation; no uninterrupted economic perimeter is inferred from availability alone.</w:t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9"/>
              </w:rPr>
              <w:t>Parent-attributable profit and average parent equity are matched for ROE. Consolidated operating cash flow / parent profit is a diagnostic comparison, not a scope-matched accounting identity.</w:t>
            </w:r>
          </w:p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Issuer identifiers</w:t>
            </w:r>
          </w:p>
          <w:p>
            <w:pPr>
              <w:widowControl w:val="0"/>
              <w:spacing w:after="180" w:before="0" w:line="260" w:lineRule="exact"/>
            </w:pPr>
            <w:r>
              <w:rPr>
                <w:rFonts w:ascii="Arial" w:hAnsi="Arial"/>
                <w:b w:val="0"/>
                <w:sz w:val="18"/>
              </w:rPr>
              <w:t>Kweichow Moutai Co., Ltd.</w:t>
              <w:br/>
              <w:t>SH 600519</w:t>
              <w:br/>
              <w:t>Reporting: CNY</w:t>
              <w:br/>
              <w:t>Quote: CNY</w:t>
            </w:r>
          </w:p>
          <w:p>
            <w:pPr>
              <w:widowControl w:val="0"/>
              <w:spacing w:after="100" w:before="0" w:line="225" w:lineRule="exact"/>
            </w:pPr>
            <w:r>
              <w:rPr>
                <w:rFonts w:ascii="Arial" w:hAnsi="Arial"/>
                <w:b/>
                <w:sz w:val="18"/>
              </w:rPr>
              <w:t>Version discipline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7"/>
              </w:rPr>
              <w:t>Snapshots retain original values, field references, URL provenance and response hashes. Missing data stays unavailable. Source status is not upgraded merely because arithmetic passes.</w:t>
            </w:r>
          </w:p>
        </w:tc>
      </w:tr>
    </w:tbl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16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Profitability cash conversion and DuPont</w:t>
      </w:r>
    </w:p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9"/>
        </w:rPr>
        <w:t>Profit margin, cash conversion and balance-sheet returns answer different questions. Parent ROE uses parent-attributable profit and average parent equity; the three-factor identity uses matching balances throughout. Missing opening balances remain unavailable.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100"/>
        <w:gridCol w:w="1635"/>
        <w:gridCol w:w="1635"/>
        <w:gridCol w:w="1635"/>
        <w:gridCol w:w="1635"/>
      </w:tblGrid>
      <w:tr>
        <w:trPr>
          <w:cantSplit/>
          <w:tblHeader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2022-12-31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2023-12-31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2024-12-31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Revenue growth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18.0%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15.7%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-1.2%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EBIT margin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67.8%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67.7%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67.9%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66.3%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Parent net margin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49.2%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49.6%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49.5%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47.8%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CFO / parent profit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0.59x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0.89x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1.07x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0.75x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Parent ROE, average equity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36.2%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38.4%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34.5%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Asset turnover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0.57x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0.61x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0.57x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Assets / parent equity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1.28x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1.27x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1.26x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100"/>
        <w:gridCol w:w="1635"/>
        <w:gridCol w:w="1635"/>
        <w:gridCol w:w="1635"/>
        <w:gridCol w:w="1635"/>
      </w:tblGrid>
      <w:tr>
        <w:trPr>
          <w:cantSplit/>
          <w:tblHeader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DuPont reconciliation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2022-12-31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2023-12-31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2024-12-31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Direct parent ROE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36.2%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38.4%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34.5%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Three-factor product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36.2%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38.4%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34.5%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Absolute identity error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5.55e-17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0.00e+00</w:t>
            </w:r>
          </w:p>
        </w:tc>
        <w:tc>
          <w:tcPr>
            <w:tcW w:type="dxa" w:w="16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5.55e-17</w:t>
            </w:r>
          </w:p>
        </w:tc>
      </w:tr>
    </w:tbl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18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Five year operating forecast</w:t>
      </w:r>
    </w:p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9"/>
        </w:rPr>
        <w:t>Forecasts are explicit assumptions, not management guidance. The model projects the issuer in aggregate; there is no verified segment, product or order forecast in this packet. The first annual FCFF is prorated to the days remaining after the analysis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00"/>
        <w:gridCol w:w="1528"/>
        <w:gridCol w:w="1528"/>
        <w:gridCol w:w="1528"/>
        <w:gridCol w:w="1528"/>
        <w:gridCol w:w="1528"/>
      </w:tblGrid>
      <w:tr>
        <w:trPr>
          <w:cantSplit/>
          <w:tblHeader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Base drivers / forecast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2026E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2027E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2028E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2029E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2030E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Revenue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169,989.4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169,037.3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169,172.4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170,390.4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172,707.7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EBIT margin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66.3%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66.3%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66.3%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66.3%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66.3%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EBIT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112,703.5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112,072.3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112,161.9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112,969.4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114,505.8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Operating tax rate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25.7%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25.7%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25.7%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25.7%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25.7%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D&amp;A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2,211.9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2,199.5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2,201.3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2,217.1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2,247.3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Capex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3,090.1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3,072.8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3,075.2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3,097.4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3,139.5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Trade NWC proxy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56,733.6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56,415.8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56,460.9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56,867.4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57,640.8</w:t>
            </w:r>
          </w:p>
        </w:tc>
      </w:tr>
      <w:tr>
        <w:trPr>
          <w:cantSplit/>
        </w:trPr>
        <w:tc>
          <w:tcPr>
            <w:tcW w:type="dxa" w:w="30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0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Full year FCFF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83,596.0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82,760.3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82,463.3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82,696.0</w:t>
            </w:r>
          </w:p>
        </w:tc>
        <w:tc>
          <w:tcPr>
            <w:tcW w:type="dxa" w:w="1528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0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83,459.3</w:t>
            </w:r>
          </w:p>
        </w:tc>
      </w:tr>
    </w:tbl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Initial growth -1.2% fades toward perpetual growth. Historical D&amp;A / revenue 1.3%, capex / revenue 1.8% and trade NWC / revenue 33.4% are mechanical drivers unless explicitly overridden. Vendor EBIT requires accounting reconciliation before interpretation as core operating profit.</w:t>
      </w:r>
    </w:p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0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DCF comparison | Three operating scenarios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75" w:lineRule="exact"/>
            </w:pPr>
            <w:r>
              <w:rPr>
                <w:rFonts w:ascii="Arial" w:hAnsi="Arial"/>
                <w:b/>
                <w:sz w:val="22"/>
              </w:rPr>
              <w:t>BASE DCF CNY 722.44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FCFF / WACC as of 2026-10-03. Five explicit years and normalized terminal reinvestment.</w:t>
            </w:r>
          </w:p>
          <w:p>
            <w:pPr>
              <w:spacing w:line="240" w:lineRule="auto" w:after="80"/>
            </w:pPr>
            <w:r>
              <w:drawing>
                <wp:inline xmlns:a="http://schemas.openxmlformats.org/drawingml/2006/main" xmlns:pic="http://schemas.openxmlformats.org/drawingml/2006/picture">
                  <wp:extent cx="4127500" cy="2306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_compariso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0" cy="2306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after="180" w:before="0" w:line="200" w:lineRule="exact"/>
            </w:pPr>
            <w:r>
              <w:rPr>
                <w:rFonts w:ascii="Arial" w:hAnsi="Arial"/>
                <w:b w:val="0"/>
                <w:sz w:val="15"/>
              </w:rPr>
              <w:t>Connections compare values with the dated close. No price path or scenario probability is assigned.</w:t>
            </w:r>
          </w:p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Shared valuation inputs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2500"/>
              <w:gridCol w:w="1240"/>
            </w:tblGrid>
            <w:tr>
              <w:trPr>
                <w:cantSplit/>
                <w:tblHeader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Assumption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WACC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10.0%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Perpetual growth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Stable ROIC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12.0%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Stable tax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25.7%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Base stable margin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66.3%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4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TV / EV</w:t>
                  </w:r>
                </w:p>
              </w:tc>
              <w:tc>
                <w:tcPr>
                  <w:tcW w:type="dxa" w:w="124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4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68.6%</w:t>
                  </w:r>
                </w:p>
              </w:tc>
            </w:tr>
          </w:tbl>
          <w:p/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WACC and stable ROIC are explicit assumptions. Terminal share measures sensitivity; it does not validate forecast accuracy.</w:t>
            </w:r>
          </w:p>
        </w:tc>
      </w:tr>
    </w:tbl>
    <w:p>
      <w:pPr>
        <w:widowControl w:val="0"/>
        <w:spacing w:after="100" w:before="0" w:line="275" w:lineRule="exact"/>
      </w:pPr>
      <w:r>
        <w:rPr>
          <w:rFonts w:ascii="Arial" w:hAnsi="Arial"/>
          <w:b/>
          <w:sz w:val="22"/>
        </w:rPr>
        <w:t>Operating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47"/>
        <w:gridCol w:w="3547"/>
        <w:gridCol w:w="3547"/>
      </w:tblGrid>
      <w:tr>
        <w:tc>
          <w:tcPr>
            <w:tcW w:type="dxa" w:w="3540"/>
          </w:tcPr>
          <w:p/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BULL CNY 912.15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DCF / close -27.5%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Growth is base plus 5 percentage points; margin plus 2 points and NWC ratio minus 1 point.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2030E revenue 220,385.9m; EBIT margin 68.3%. Stable margin 68.3%.</w:t>
            </w:r>
          </w:p>
        </w:tc>
        <w:tc>
          <w:tcPr>
            <w:tcW w:type="dxa" w:w="3540"/>
          </w:tcPr>
          <w:p/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BASE CNY 722.44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DCF / close -42.6%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Recent growth fades toward perpetual growth. Margin, D&amp;A and reinvestment ratios follow the disclosed base assumptions.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2030E revenue 172,707.7m; EBIT margin 66.3%. Stable margin 66.3%.</w:t>
            </w:r>
          </w:p>
        </w:tc>
        <w:tc>
          <w:tcPr>
            <w:tcW w:type="dxa" w:w="3540"/>
          </w:tcPr>
          <w:p/>
          <w:p>
            <w:pPr>
              <w:widowControl w:val="0"/>
              <w:spacing w:after="100" w:before="0" w:line="250" w:lineRule="exact"/>
            </w:pPr>
            <w:r>
              <w:rPr>
                <w:rFonts w:ascii="Arial" w:hAnsi="Arial"/>
                <w:b/>
                <w:sz w:val="20"/>
              </w:rPr>
              <w:t>BEAR CNY 559.34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7"/>
              </w:rPr>
              <w:t>DCF / close -55.6%</w:t>
            </w:r>
          </w:p>
          <w:p>
            <w:pPr>
              <w:widowControl w:val="0"/>
              <w:spacing w:after="180" w:before="0" w:line="240" w:lineRule="exact"/>
            </w:pPr>
            <w:r>
              <w:rPr>
                <w:rFonts w:ascii="Arial" w:hAnsi="Arial"/>
                <w:b w:val="0"/>
                <w:sz w:val="18"/>
              </w:rPr>
              <w:t>Growth is base minus 5 points; margin minus 3 points, capex ratio plus 0.5 point and NWC ratio plus 2 points.</w:t>
            </w:r>
          </w:p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2030E revenue 133,663.0m; EBIT margin 63.3%. Stable margin 63.3%.</w:t>
            </w:r>
          </w:p>
        </w:tc>
      </w:tr>
    </w:tbl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2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DCF calculation detail | CNY million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0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/>
          <w:tblHeader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Year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Revenue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EBIT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NOPAT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D&amp;A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Capex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Change NWC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Annual FCFF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Fraction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FCFF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DF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PV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2026E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178,592.1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121,979.0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90,680.5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2,323.8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3,246.4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396.1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89,361.8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0.2438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21,789.6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0.97703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21,289.0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2027E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186,521.4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127,394.8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94,706.7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2,427.0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3,390.6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2,567.1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91,176.0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91,176.0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0.88821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80,983.2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2028E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195,996.6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133,866.4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99,517.7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2,550.3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3,562.8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3,067.6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95,437.6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95,437.6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0.80725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77,042.1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2029E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207,207.5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141,523.5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105,210.1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2,696.2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3,766.6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3,629.5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100,510.1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100,510.1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0.73386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73,760.8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BULL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2030E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220,385.9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150,524.3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111,901.4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2,867.6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4,006.2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4,266.5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106,496.5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106,496.5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0.66715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71,049.0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2026E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169,989.4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112,703.5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83,785.1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2,211.9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3,090.1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-689.1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83,596.0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0.2438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20,383.7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0.97703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19,915.4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2027E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169,037.3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112,072.3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83,315.8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2,199.5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3,072.8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-317.8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82,760.3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82,760.3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0.88821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73,508.3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2028E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169,172.4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112,161.9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83,382.4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2,201.3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3,075.2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45.1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82,463.3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82,463.3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0.80725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66,568.6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2029E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170,390.4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112,969.4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83,982.7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2,217.1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3,097.4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406.5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82,696.0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82,696.0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0.73386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60,687.6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BASE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2030E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172,707.7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114,505.8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85,124.9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2,247.3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3,139.5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773.4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83,459.3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83,459.3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0.66715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55,679.8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2026E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161,386.6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102,158.3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75,945.6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2,099.9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3,740.6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-332.5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74,637.5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0.2438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18,199.3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0.97703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17,781.2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2027E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152,413.4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96,478.2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71,723.0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1,983.2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3,532.6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-3,174.3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73,347.8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73,347.8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0.88821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65,148.0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2028E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144,914.6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91,731.5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68,194.2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1,885.6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3,358.8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-2,652.7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69,373.7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69,373.7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0.80725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56,001.9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2029E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138,712.2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87,805.3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65,275.4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1,804.9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3,215.1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-2,194.1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66,059.4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66,059.4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0.73386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48,478.6</w:t>
            </w:r>
          </w:p>
        </w:tc>
      </w:tr>
      <w:tr>
        <w:trPr>
          <w:cantSplit/>
        </w:trPr>
        <w:tc>
          <w:tcPr>
            <w:tcW w:type="dxa" w:w="88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BEAR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2030E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133,663.0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84,609.2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62,899.4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1,739.2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3,098.0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-1,786.1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63,326.7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1.0000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63,326.7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0.66715</w:t>
            </w:r>
          </w:p>
        </w:tc>
        <w:tc>
          <w:tcPr>
            <w:tcW w:type="dxa" w:w="1113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42,248.3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800"/>
        <w:gridCol w:w="3147"/>
        <w:gridCol w:w="3147"/>
        <w:gridCol w:w="3147"/>
      </w:tblGrid>
      <w:tr>
        <w:trPr>
          <w:cantSplit/>
          <w:tblHeader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Terminal / value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Bull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Bear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Stable FCFF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95,116.2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72,356.1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53,464.5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Terminal value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1,188,952.9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904,451.7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668,306.1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PV of terminal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793,208.7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603,404.1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445,859.7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PV of explicit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324,124.0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276,359.6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229,658.1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Operating EV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1,117,332.8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879,763.7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675,517.8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Equity value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1,142,262.8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904,693.7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700,447.8</w:t>
            </w:r>
          </w:p>
        </w:tc>
      </w:tr>
      <w:tr>
        <w:trPr>
          <w:cantSplit/>
        </w:trPr>
        <w:tc>
          <w:tcPr>
            <w:tcW w:type="dxa" w:w="48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CNY / share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912.15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722.44</w:t>
            </w:r>
          </w:p>
        </w:tc>
        <w:tc>
          <w:tcPr>
            <w:tcW w:type="dxa" w:w="3147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559.34</w:t>
            </w:r>
          </w:p>
        </w:tc>
      </w:tr>
    </w:tbl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Annual FCFF = NOPAT + D&amp;A - capex - change in trade NWC. The first fraction and actual/365 discount factor are shown explicitly. Stable FCFF = normalized NOPAT x (1 - growth / ROIC). Amounts stay in CNY; only per-share outputs are translated.</w:t>
      </w:r>
    </w:p>
    <w:p>
      <w:pPr>
        <w:spacing w:after="0" w:before="0" w:line="20" w:lineRule="exact"/>
        <w:sectPr>
          <w:footerReference w:type="default" r:id="rId25"/>
          <w:pgSz w:w="15840" w:h="12240" w:orient="landscape"/>
          <w:pgMar w:top="88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Equity bridge and sensitivity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60"/>
        <w:gridCol w:w="3980"/>
      </w:tblGrid>
      <w:tr>
        <w:tc>
          <w:tcPr>
            <w:tcW w:type="dxa" w:w="6660"/>
            <w:tcMar>
              <w:top w:w="0" w:type="dxa"/>
              <w:bottom w:w="0" w:type="dxa"/>
              <w:left w:w="0" w:type="dxa"/>
              <w:right w:w="160" w:type="dxa"/>
            </w:tcMar>
            <w:tcBorders>
              <w:right w:val="single" w:sz="3" w:color="8F969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42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Base bridge | CNY mm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Amount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Operating EV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879,763.7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Cash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51,690.6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Investments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Operating Cash Reserve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17,205.4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Debt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233.7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Other Senior Claims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Nci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9,321.4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Non Operating Assets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Shares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1,252.270215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Equity value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904,693.7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2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60" w:lineRule="exact"/>
                    <w:jc w:val="left"/>
                  </w:pPr>
                  <w:r>
                    <w:rPr>
                      <w:rFonts w:ascii="Arial" w:hAnsi="Arial"/>
                      <w:b w:val="0"/>
                      <w:sz w:val="16"/>
                    </w:rPr>
                    <w:t>CNY / share</w:t>
                  </w:r>
                </w:p>
              </w:tc>
              <w:tc>
                <w:tcPr>
                  <w:tcW w:type="dxa" w:w="230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60" w:lineRule="exact"/>
                    <w:jc w:val="right"/>
                  </w:pPr>
                  <w:r>
                    <w:rPr>
                      <w:rFonts w:ascii="Arial" w:hAnsi="Arial"/>
                      <w:b w:val="0"/>
                      <w:color w:val="082C4A"/>
                      <w:sz w:val="16"/>
                    </w:rPr>
                    <w:t>722.44</w:t>
                  </w:r>
                </w:p>
              </w:tc>
            </w:tr>
          </w:tbl>
          <w:p/>
        </w:tc>
        <w:tc>
          <w:tcPr>
            <w:tcW w:type="dxa" w:w="3980"/>
            <w:tcMar>
              <w:top w:w="0" w:type="dxa"/>
              <w:bottom w:w="0" w:type="dxa"/>
              <w:left w:w="180" w:type="dxa"/>
              <w:right w:w="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</w:tblPr>
            <w:tblGrid>
              <w:gridCol w:w="780"/>
              <w:gridCol w:w="592"/>
              <w:gridCol w:w="592"/>
              <w:gridCol w:w="592"/>
              <w:gridCol w:w="592"/>
              <w:gridCol w:w="592"/>
            </w:tblGrid>
            <w:tr>
              <w:trPr>
                <w:cantSplit/>
                <w:tblHeader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WACC / g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1.0%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1.5%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2.0%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2.5%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  <w:shd w:fill="082C4A"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/>
                      <w:color w:val="FFFFFF"/>
                      <w:sz w:val="14"/>
                    </w:rPr>
                    <w:t>3.0%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9.0%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791.21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803.88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818.08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834.16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852.59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9.5%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746.70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756.38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767.10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779.07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792.58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10.0%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707.12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714.44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722.44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731.26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741.07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10.5%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671.69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677.14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683.01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689.38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696.35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0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</w:tcPr>
                <w:p>
                  <w:pPr>
                    <w:widowControl w:val="0"/>
                    <w:spacing w:after="0" w:before="0" w:line="280" w:lineRule="exact"/>
                    <w:jc w:val="left"/>
                  </w:pPr>
                  <w:r>
                    <w:rPr>
                      <w:rFonts w:ascii="Arial Narrow" w:hAnsi="Arial Narrow"/>
                      <w:b w:val="0"/>
                      <w:sz w:val="14"/>
                    </w:rPr>
                    <w:t>11.0%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639.79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643.74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647.91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652.37</w:t>
                  </w:r>
                </w:p>
              </w:tc>
              <w:tc>
                <w:tcPr>
                  <w:tcW w:type="dxa" w:w="592"/>
                  <w:tcMar>
                    <w:top w:w="0" w:type="dxa"/>
                    <w:bottom w:w="0" w:type="dxa"/>
                    <w:left w:w="15" w:type="dxa"/>
                    <w:right w:w="15" w:type="dxa"/>
                  </w:tcMar>
                  <w:noWrap/>
                </w:tcPr>
                <w:p>
                  <w:pPr>
                    <w:widowControl w:val="0"/>
                    <w:spacing w:after="0" w:before="0" w:line="280" w:lineRule="exact"/>
                    <w:jc w:val="right"/>
                  </w:pPr>
                  <w:r>
                    <w:rPr>
                      <w:rFonts w:ascii="Arial Narrow" w:hAnsi="Arial Narrow"/>
                      <w:b w:val="0"/>
                      <w:color w:val="082C4A"/>
                      <w:sz w:val="14"/>
                    </w:rPr>
                    <w:t>657.16</w:t>
                  </w:r>
                </w:p>
              </w:tc>
            </w:tr>
          </w:tbl>
          <w:p/>
          <w:p>
            <w:pPr>
              <w:widowControl w:val="0"/>
              <w:spacing w:after="180" w:before="0" w:line="220" w:lineRule="exact"/>
            </w:pPr>
            <w:r>
              <w:rPr>
                <w:rFonts w:ascii="Arial" w:hAnsi="Arial"/>
                <w:b w:val="0"/>
                <w:sz w:val="16"/>
              </w:rPr>
              <w:t>Sensitivity in CNY/share. Centre equals the base model. Other operating and bridge assumptions are held fixed.</w:t>
            </w:r>
          </w:p>
        </w:tc>
      </w:tr>
    </w:tbl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Reporting currency CNY; quoted currency CNY. Conversion uses 1.000000 CNY per CNY, dated 2026-09-30.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Cash and recognized short investments enter the bridge after the operating reserve. Debt, senior claims and NCI are deducted once; additional non-operating asset recognition is a separate explicit policy.</w:t>
      </w:r>
    </w:p>
    <w:p>
      <w:pPr>
        <w:widowControl w:val="0"/>
        <w:spacing w:after="180" w:before="0" w:line="240" w:lineRule="exact"/>
      </w:pPr>
      <w:r>
        <w:rPr>
          <w:rFonts w:ascii="Arial" w:hAnsi="Arial"/>
          <w:b w:val="0"/>
          <w:sz w:val="18"/>
        </w:rPr>
        <w:t>NCI is a book-value proxy. Annual cash, debt and shares are frozen unless overridden. Subsequent distributions, buybacks, financing, dilution and changes in investment fair value are not automatically bridged.</w:t>
      </w:r>
    </w:p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7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Historical financial appendix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100"/>
        <w:gridCol w:w="2535"/>
        <w:gridCol w:w="2535"/>
        <w:gridCol w:w="2535"/>
        <w:gridCol w:w="2535"/>
      </w:tblGrid>
      <w:tr>
        <w:trPr>
          <w:cantSplit/>
          <w:tblHeader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CNY million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2022-12-31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2023-12-31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2024-12-31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2025-12-31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Revenue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127,554.0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150,560.3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174,144.1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172,054.2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Reported operating EBIT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86,544.1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101,958.2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118,276.3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114,072.5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Parent net income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62,717.5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74,734.1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86,228.1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82,320.1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Cash from operations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36,698.6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66,593.2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92,463.7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61,522.2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Capital expenditure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5,306.5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2,619.8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4,678.7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3,127.6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Depreciation / amortization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1,677.0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1,920.5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2,064.8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2,238.7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Total assets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254,500.8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272,699.7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298,944.6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303,834.8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Parent equity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197,480.0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215,668.6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233,106.0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244,637.8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Cash equivalents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58,274.3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69,070.1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59,295.8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51,690.6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Recognized short investments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400.7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248.5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Debt / leases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443.8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323.7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425.9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233.7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NCI book balance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7,458.0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7,987.9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8,905.3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9,321.4</w:t>
            </w:r>
          </w:p>
        </w:tc>
      </w:tr>
      <w:tr>
        <w:trPr>
          <w:cantSplit/>
        </w:trPr>
        <w:tc>
          <w:tcPr>
            <w:tcW w:type="dxa" w:w="41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380" w:lineRule="exact"/>
              <w:jc w:val="left"/>
            </w:pPr>
            <w:r>
              <w:rPr>
                <w:rFonts w:ascii="Arial" w:hAnsi="Arial"/>
                <w:b w:val="0"/>
                <w:sz w:val="18"/>
              </w:rPr>
              <w:t>Ordinary shares million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1,256.2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1,256.2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1,256.2</w:t>
            </w:r>
          </w:p>
        </w:tc>
        <w:tc>
          <w:tcPr>
            <w:tcW w:type="dxa" w:w="253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3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8"/>
              </w:rPr>
              <w:t>1,252.3</w:t>
            </w:r>
          </w:p>
        </w:tc>
      </w:tr>
    </w:tbl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8"/>
        </w:rPr>
        <w:t>Periods retain their fiscal dates and source definitions. Historical share units may retain pre-split observations and are not used to infer per-share growth. Unavailable fields are missing observations, not factual zero balances.</w:t>
      </w:r>
    </w:p>
    <w:p>
      <w:pPr>
        <w:widowControl w:val="0"/>
        <w:spacing w:after="140" w:before="0" w:line="164" w:lineRule="exact"/>
      </w:pPr>
      <w:r>
        <w:rPr>
          <w:rFonts w:ascii="Arial" w:hAnsi="Arial"/>
          <w:b w:val="0"/>
          <w:color w:val="666666"/>
          <w:sz w:val="14"/>
        </w:rPr>
        <w:t xml:space="preserve">Sources: frozen public financial feeds and matched SEC tags where available. Secondary fields require filing review. Amounts are reporting-currency millions unless stated. </w:t>
      </w:r>
    </w:p>
    <w:p>
      <w:pPr>
        <w:spacing w:after="0" w:before="0" w:line="20" w:lineRule="exact"/>
        <w:sectPr>
          <w:footerReference w:type="default" r:id="rId29"/>
          <w:pgSz w:w="15840" w:h="12240" w:orient="landscape"/>
          <w:pgMar w:top="88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Method evidence and limitations</w:t>
      </w:r>
    </w:p>
    <w:p>
      <w:pPr>
        <w:widowControl w:val="0"/>
        <w:spacing w:after="180" w:before="0" w:line="260" w:lineRule="exact"/>
      </w:pPr>
      <w:r>
        <w:rPr>
          <w:rFonts w:ascii="Arial" w:hAnsi="Arial"/>
          <w:b w:val="0"/>
          <w:sz w:val="19"/>
        </w:rPr>
        <w:t>FCFF discounts operating cash flows at WACC; financial claims enter the equity bridge. Terminal cash flow normalizes reinvestment using growth / stable ROIC. WACC must exceed perpetual growth. The chart compares scenario values with a dated close, not a future price path.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700"/>
        <w:gridCol w:w="4470"/>
        <w:gridCol w:w="4470"/>
      </w:tblGrid>
      <w:tr>
        <w:trPr>
          <w:cantSplit/>
          <w:tblHeader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ID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Kind / host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Retrieved</w:t>
            </w:r>
          </w:p>
        </w:tc>
      </w:tr>
      <w:tr>
        <w:trPr>
          <w:cantSplit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S1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secondary_public_feed / query1.finance.yahoo.com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2026-10-03</w:t>
            </w:r>
          </w:p>
        </w:tc>
      </w:tr>
      <w:tr>
        <w:trPr>
          <w:cantSplit/>
        </w:trPr>
        <w:tc>
          <w:tcPr>
            <w:tcW w:type="dxa" w:w="1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280" w:lineRule="exact"/>
              <w:jc w:val="left"/>
            </w:pPr>
            <w:r>
              <w:rPr>
                <w:rFonts w:ascii="Arial" w:hAnsi="Arial"/>
                <w:b w:val="0"/>
                <w:sz w:val="16"/>
              </w:rPr>
              <w:t>S2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secondary_public_feed / query1.finance.yahoo.com</w:t>
            </w:r>
          </w:p>
        </w:tc>
        <w:tc>
          <w:tcPr>
            <w:tcW w:type="dxa" w:w="4470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280" w:lineRule="exact"/>
              <w:jc w:val="right"/>
            </w:pPr>
            <w:r>
              <w:rPr>
                <w:rFonts w:ascii="Arial" w:hAnsi="Arial"/>
                <w:b w:val="0"/>
                <w:color w:val="082C4A"/>
                <w:sz w:val="16"/>
              </w:rPr>
              <w:t>2026-10-03</w:t>
            </w:r>
          </w:p>
        </w:tc>
      </w:tr>
    </w:tbl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Secondary financial feeds are not independently verified against issuer filings; publication cutoff and restatement scope require review.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Annual shares and bridge balances are frozen at the latest annual end, not assumed to be current. Corporate actions since that date require review.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Trade working capital proxy omits unavailable prepayments, contract assets and customer advances.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A report is a research draft with explicit assumptions, not a brokerage recommendation.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Separate investment recognition defaults to zero as an explicit valuation policy, not a factual zero balance.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Defaults are transparent scenario seeds, not analyst-validated fair-value assumptions: latest margin, capped recent growth fading to perpetual growth, historical D&amp;A/capex ratios, 10% revenue operating reserve, 10% WACC and 12% terminal ROIC unless overridden.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Latest annual cash/debt/share balances are frozen unless explicitly overridden; subsequent dividends, buybacks, financing, dilution and interim results are not automatically bridged.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NCI is deducted at book value; unrecognized non-operating stakes, assets and senior claims may materially change value.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First future fiscal cash flow is prorated by days remaining; same-calendar-date fiscal forecasts approximate 52/53-week calendars. Stock-based compensation is not deducted separately and future dilution is not forecast.</w:t>
      </w:r>
    </w:p>
    <w:p>
      <w:pPr>
        <w:widowControl w:val="0"/>
        <w:spacing w:after="180" w:before="0" w:line="220" w:lineRule="exact"/>
      </w:pPr>
      <w:r>
        <w:rPr>
          <w:rFonts w:ascii="Arial" w:hAnsi="Arial"/>
          <w:b w:val="0"/>
          <w:sz w:val="16"/>
        </w:rPr>
        <w:t>Trade NWC uses receivables + inventory - payables - deferred revenue. Missing components are omitted; this proxy excludes other operating current balances. Vendor operating-profit definitions may include investment or finance items and require filing reconciliation before use as core EBIT.</w:t>
      </w:r>
    </w:p>
    <w:p>
      <w:pPr>
        <w:spacing w:after="0" w:before="0" w:line="20" w:lineRule="exact"/>
        <w:sectPr>
          <w:footerReference w:type="default" r:id="rId31"/>
          <w:pgSz w:w="12240" w:h="15840"/>
          <w:pgMar w:top="60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Financial source locators | 1-40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700"/>
        <w:gridCol w:w="2385"/>
        <w:gridCol w:w="2385"/>
        <w:gridCol w:w="2385"/>
        <w:gridCol w:w="2385"/>
      </w:tblGrid>
      <w:tr>
        <w:trPr>
          <w:cantSplit/>
          <w:tblHeader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Fact ID / fiscal end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Raw value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Source ID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Field locator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1,676,962,688.03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annualDepreciationAndAmortization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443,799,098.07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86,544,076,613.98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F01.2022-12-31.nci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7,458,040,024.40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annualMinorityInterest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22,325,449,790.30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annualTaxProvision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62,717,467,870.12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annualNetIncome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10,093,468,616.63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annualCostOfRevenue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38,824,374,236.24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annualInventory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127,553,959,355.97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20,937,144.00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annualAccountsReceivable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1,256,197,800.00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annualOrdinarySharesNumber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254,500,826,096.02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87,701,489,748.18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annualPretaxIncome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58,274,318,733.23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annualCashAndCashEquivalents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5,306,546,416.54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annualCapitalExpenditure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36,698,595,830.03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annualOperatingCashFlow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197,480,041,239.46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F01.2022-12-31.payables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2,408,371,053.69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annualAccountsPayable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1,920,529,698.14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annualDepreciationAndAmortization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323,691,113.52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101,958,150,728.79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F02.2023-12-31.nci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7,987,897,687.39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annualMinorityInterest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26,141,077,412.01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annualTaxProvision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74,734,071,550.75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annualNetIncome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11,867,273,851.78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annualCostOfRevenue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46,435,185,061.53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annualInventory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150,560,330,316.45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60,373,410.41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annualAccountsReceivable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1,256,197,800.00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annualOrdinarySharesNumber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272,699,660,092.25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F02.2023-12-31.investments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400,712,059.93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annualOtherShortTermInvestments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103,662,553,689.81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annualPretaxIncome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69,070,136,376.12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annualCashAndCashEquivalents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2,619,755,888.79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annualCapitalExpenditure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66,593,247,721.09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annualOperatingCashFlow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215,668,571,607.43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F02.2023-12-31.payables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3,093,091,103.67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annualAccountsPayable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2,064,828,064.78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annualDepreciationAndAmortization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425,857,527.96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118,276,329,989.35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annualOperatingIncome</w:t>
            </w:r>
          </w:p>
        </w:tc>
      </w:tr>
    </w:tbl>
    <w:p>
      <w:pPr>
        <w:widowControl w:val="0"/>
        <w:spacing w:after="180" w:before="0" w:line="200" w:lineRule="exact"/>
      </w:pPr>
      <w:r>
        <w:rPr>
          <w:rFonts w:ascii="Arial" w:hAnsi="Arial"/>
          <w:b w:val="0"/>
          <w:sz w:val="15"/>
        </w:rPr>
        <w:t>Field locators may be shortened for display. Full tags, source URLs, accession/filing dates where matched, raw responses, hashes and component definitions remain in company_snapshot.json and data/. SEC matching does not replace accounting-scope review; secondary feeds are not independently filing-verified.</w:t>
      </w:r>
    </w:p>
    <w:p>
      <w:pPr>
        <w:spacing w:after="0" w:before="0" w:line="20" w:lineRule="exact"/>
        <w:sectPr>
          <w:footerReference w:type="default" r:id="rId33"/>
          <w:pgSz w:w="15840" w:h="12240" w:orient="landscape"/>
          <w:pgMar w:top="880" w:right="800" w:bottom="720" w:left="800" w:header="600" w:footer="300" w:gutter="0"/>
          <w:cols w:space="720"/>
          <w:docGrid w:linePitch="360"/>
        </w:sectPr>
      </w:pPr>
    </w:p>
    <w:p>
      <w:pPr>
        <w:widowControl w:val="0"/>
        <w:spacing w:after="720" w:before="0" w:line="280" w:lineRule="exact"/>
      </w:pPr>
      <w:r>
        <w:rPr>
          <w:rFonts w:ascii="Arial" w:hAnsi="Arial"/>
          <w:b w:val="0"/>
          <w:color w:val="082C4A"/>
          <w:sz w:val="20"/>
        </w:rPr>
        <w:t>EQUITY RESEARCH AGENT | PUBLIC-DATA RESEARCH DRAFT</w:t>
      </w:r>
    </w:p>
    <w:p>
      <w:pPr>
        <w:widowControl w:val="0"/>
        <w:spacing w:after="260" w:before="0" w:line="500" w:lineRule="exact"/>
      </w:pPr>
      <w:r>
        <w:rPr>
          <w:rFonts w:ascii="Segoe UI Light" w:hAnsi="Segoe UI Light"/>
          <w:b w:val="0"/>
          <w:color w:val="00A6D8"/>
          <w:sz w:val="42"/>
        </w:rPr>
        <w:t>Financial source locators | 41-74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700"/>
        <w:gridCol w:w="2385"/>
        <w:gridCol w:w="2385"/>
        <w:gridCol w:w="2385"/>
        <w:gridCol w:w="2385"/>
      </w:tblGrid>
      <w:tr>
        <w:trPr>
          <w:cantSplit/>
          <w:tblHeader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  <w:shd w:fill="082C4A"/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Fact ID / fiscal end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Raw value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Source ID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  <w:shd w:fill="082C4A"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/>
                <w:color w:val="FFFFFF"/>
                <w:sz w:val="14"/>
              </w:rPr>
              <w:t>Field locator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F03.2024-12-31.nci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8,905,330,721.13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annualMinorityInterest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30,303,850,168.56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annualTaxProvision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86,228,146,421.62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annualNetIncome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13,789,482,367.98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annualCostOfRevenue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54,343,285,157.47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annualInventory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174,144,069,958.25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18,974,192.75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annualAccountsReceivable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1,256,197,800.00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annualOrdinarySharesNumber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298,944,579,918.70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F03.2024-12-31.investments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248,513,280.00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annualOtherShortTermInvestments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119,638,578,194.46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annualPretaxIncome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59,295,822,956.89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annualCashAndCashEquivalents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4,678,712,053.56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annualCapitalExpenditure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92,463,692,168.43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annualOperatingCashFlow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233,105,984,399.47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F03.2024-12-31.payables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3,514,969,230.31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annualAccountsPayable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F04.2025-12-31.da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2,238,749,319.79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annualDepreciationAndAmortization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F04.2025-12-31.debt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233,711,179.82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annualTotalDebt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F04.2025-12-31.ebit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114,072,524,657.50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F04.2025-12-31.nci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9,321,442,876.89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annualMinorityInterest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29,444,936,771.41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annualTaxProvision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F04.2025-12-31.parent_income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82,320,067,101.68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annualNetIncome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F04.2025-12-31.cost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14,892,277,570.91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annualCostOfRevenue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F04.2025-12-31.inventory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61,427,421,796.18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annualInventory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F04.2025-12-31.revenue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172,054,171,890.91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annualTotalRevenue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F04.2025-12-31.receivables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2,609,048.49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annualAccountsReceivable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1,252,270,215.00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shares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annualOrdinarySharesNumber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F04.2025-12-31.assets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303,834,844,021.44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annualTotalAssets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F04.2025-12-31.pretax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114,755,261,605.08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annualPretaxIncome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F04.2025-12-31.cash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51,690,610,946.50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annualCashAndCashEquivalents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F04.2025-12-31.capex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3,127,594,916.41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annualCapitalExpenditure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F04.2025-12-31.cfo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61,522,204,989.35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annualOperatingCashFlow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F04.2025-12-31.equity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244,637,811,032.18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annualStockholdersEquity</w:t>
            </w:r>
          </w:p>
        </w:tc>
      </w:tr>
      <w:tr>
        <w:trPr>
          <w:cantSplit/>
        </w:trPr>
        <w:tc>
          <w:tcPr>
            <w:tcW w:type="dxa" w:w="4700"/>
            <w:tcMar>
              <w:top w:w="0" w:type="dxa"/>
              <w:bottom w:w="0" w:type="dxa"/>
              <w:left w:w="15" w:type="dxa"/>
              <w:right w:w="15" w:type="dxa"/>
            </w:tcMar>
          </w:tcPr>
          <w:p>
            <w:pPr>
              <w:widowControl w:val="0"/>
              <w:spacing w:after="0" w:before="0" w:line="188" w:lineRule="exact"/>
              <w:jc w:val="left"/>
            </w:pPr>
            <w:r>
              <w:rPr>
                <w:rFonts w:ascii="Arial Narrow" w:hAnsi="Arial Narrow"/>
                <w:b w:val="0"/>
                <w:sz w:val="14"/>
              </w:rPr>
              <w:t>F04.2025-12-31.payables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4,007,309,049.87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CNY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color w:val="082C4A"/>
                <w:sz w:val="14"/>
              </w:rPr>
              <w:t>S2</w:t>
            </w:r>
          </w:p>
        </w:tc>
        <w:tc>
          <w:tcPr>
            <w:tcW w:type="dxa" w:w="2385"/>
            <w:tcMar>
              <w:top w:w="0" w:type="dxa"/>
              <w:bottom w:w="0" w:type="dxa"/>
              <w:left w:w="15" w:type="dxa"/>
              <w:right w:w="15" w:type="dxa"/>
            </w:tcMar>
            <w:noWrap/>
          </w:tcPr>
          <w:p>
            <w:pPr>
              <w:widowControl w:val="0"/>
              <w:spacing w:after="0" w:before="0" w:line="188" w:lineRule="exact"/>
              <w:jc w:val="right"/>
            </w:pPr>
            <w:r>
              <w:rPr>
                <w:rFonts w:ascii="Arial Narrow" w:hAnsi="Arial Narrow"/>
                <w:b w:val="0"/>
                <w:sz w:val="14"/>
              </w:rPr>
              <w:t>annualAccountsPayable</w:t>
            </w:r>
          </w:p>
        </w:tc>
      </w:tr>
    </w:tbl>
    <w:p>
      <w:pPr>
        <w:widowControl w:val="0"/>
        <w:spacing w:after="180" w:before="0" w:line="200" w:lineRule="exact"/>
      </w:pPr>
      <w:r>
        <w:rPr>
          <w:rFonts w:ascii="Arial" w:hAnsi="Arial"/>
          <w:b w:val="0"/>
          <w:sz w:val="15"/>
        </w:rPr>
        <w:t>Field locators may be shortened for display. Full tags, source URLs, accession/filing dates where matched, raw responses, hashes and component definitions remain in company_snapshot.json and data/. SEC matching does not replace accounting-scope review; secondary feeds are not independently filing-verified.</w:t>
      </w:r>
    </w:p>
    <w:sectPr w:rsidR="00FC693F" w:rsidRPr="0006063C" w:rsidSect="00034616">
      <w:footerReference w:type="default" r:id="rId35"/>
      <w:pgSz w:w="15840" w:h="12240" w:orient="landscape"/>
      <w:pgMar w:top="880" w:right="800" w:bottom="720" w:left="800" w:header="6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60" w:lineRule="exact"/>
    </w:pPr>
    <w:r>
      <w:rPr>
        <w:color w:val="607D90"/>
        <w:sz w:val="14"/>
      </w:rPr>
      <w:t>600519 | SH | 2026-10-03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80" w:lineRule="exac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14" Type="http://schemas.openxmlformats.org/officeDocument/2006/relationships/footer" Target="footer3.xml"/><Relationship Id="rId16" Type="http://schemas.openxmlformats.org/officeDocument/2006/relationships/footer" Target="footer4.xml"/><Relationship Id="rId18" Type="http://schemas.openxmlformats.org/officeDocument/2006/relationships/footer" Target="footer5.xml"/><Relationship Id="rId20" Type="http://schemas.openxmlformats.org/officeDocument/2006/relationships/footer" Target="footer6.xml"/><Relationship Id="rId22" Type="http://schemas.openxmlformats.org/officeDocument/2006/relationships/footer" Target="footer7.xml"/><Relationship Id="rId23" Type="http://schemas.openxmlformats.org/officeDocument/2006/relationships/image" Target="media/image2.png"/><Relationship Id="rId25" Type="http://schemas.openxmlformats.org/officeDocument/2006/relationships/footer" Target="footer8.xml"/><Relationship Id="rId27" Type="http://schemas.openxmlformats.org/officeDocument/2006/relationships/footer" Target="footer9.xml"/><Relationship Id="rId29" Type="http://schemas.openxmlformats.org/officeDocument/2006/relationships/footer" Target="footer10.xml"/><Relationship Id="rId31" Type="http://schemas.openxmlformats.org/officeDocument/2006/relationships/footer" Target="footer11.xml"/><Relationship Id="rId33" Type="http://schemas.openxmlformats.org/officeDocument/2006/relationships/footer" Target="footer12.xml"/><Relationship Id="rId35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Kweichow Moutai Co., Ltd. Financial analysis and explicit DCF assumptions</dc:title>
  <dc:subject>Public financial analysis with explicit assumptions using the retained reference layout</dc:subject>
  <dc:creator>Equity Research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