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0"/>
        <w:gridCol w:w="3980"/>
      </w:tblGrid>
      <w:tr>
        <w:tc>
          <w:tcPr>
            <w:tcW w:type="dxa" w:w="6660"/>
            <w:tcMar>
              <w:top w:w="0" w:type="dxa"/>
              <w:bottom w:w="0" w:type="dxa"/>
              <w:left w:w="0" w:type="dxa"/>
              <w:right w:w="160" w:type="dxa"/>
            </w:tcMar>
            <w:tcBorders>
              <w:right w:val="single" w:sz="3" w:color="8F969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20" w:before="0" w:line="340" w:lineRule="exact"/>
            </w:pPr>
            <w:r>
              <w:rPr>
                <w:rFonts w:ascii="Arial" w:hAnsi="Arial"/>
                <w:b/>
                <w:color w:val="6B6ACB"/>
                <w:sz w:val="26"/>
              </w:rPr>
              <w:t>NVIDIA Corporation | US | NVDA</w:t>
            </w:r>
          </w:p>
          <w:p>
            <w:pPr>
              <w:widowControl w:val="0"/>
              <w:spacing w:after="260" w:before="0" w:line="560" w:lineRule="exact"/>
            </w:pPr>
            <w:r>
              <w:rPr>
                <w:rFonts w:ascii="Segoe UI Light" w:hAnsi="Segoe UI Light"/>
                <w:b w:val="0"/>
                <w:sz w:val="46"/>
              </w:rPr>
              <w:t>Financial performance and cash value</w:t>
            </w:r>
          </w:p>
          <w:p>
            <w:pPr>
              <w:widowControl w:val="0"/>
              <w:spacing w:after="180" w:before="0" w:line="300" w:lineRule="exact"/>
            </w:pPr>
            <w:r>
              <w:rPr>
                <w:rFonts w:ascii="Arial" w:hAnsi="Arial"/>
                <w:b w:val="0"/>
                <w:sz w:val="21"/>
              </w:rPr>
              <w:t>This report connects reported profitability and cash conversion with transparent reinvestment and equity-bridge assumptions. The base case gives USD 92.08 per share, compared with the dated close of USD 233.95. These are conditional DCF values, not an investment rating.</w:t>
            </w:r>
          </w:p>
          <w:p>
            <w:pPr>
              <w:widowControl w:val="0"/>
              <w:spacing w:after="100" w:before="0" w:line="275" w:lineRule="exact"/>
            </w:pPr>
            <w:r>
              <w:rPr>
                <w:rFonts w:ascii="Arial" w:hAnsi="Arial"/>
                <w:b/>
                <w:sz w:val="22"/>
              </w:rPr>
              <w:t>Key takeaways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Latest annual revenue USD 215,938.0 million; EBIT margin 60.4%; parent net margin 55.6%. Fiscal end 2026-01-25.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Parent ROE 101.5%; CFO / parent profit 0.86x. Scope-matched average parent equity supports the DuPont identity.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Dated close USD 233.95 on 2026-10-02. FX 1.000000 USD per USD, dated 2026-10-02.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Bull USD 114.81, base USD 92.08, bear USD 71.87 per share; base upside / downside -60.6%.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WACC 10.0%; perpetual growth 2.0%; stable ROIC 12.0%; terminal / EV 72.9%. Operating reserve USD 21,593.8 million is an explicit assumption.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Financial feeds, operating-profit definitions and forecast assumptions require issuer-filing review. The report does not establish verified fair value. Annual balances and shares are frozen; subsequent distributions, financing and dilution are not automatically bridged.</w:t>
            </w:r>
          </w:p>
        </w:tc>
        <w:tc>
          <w:tcPr>
            <w:tcW w:type="dxa" w:w="3980"/>
            <w:tcMar>
              <w:top w:w="0" w:type="dxa"/>
              <w:bottom w:w="0" w:type="dxa"/>
              <w:left w:w="18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Public-data research draft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7"/>
              </w:rPr>
              <w:t>Observed figures and calculated values are distinguished from generic scenario assumptions. No assured target price is assigned.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</w:tblPr>
            <w:tblGrid>
              <w:gridCol w:w="1700"/>
              <w:gridCol w:w="2040"/>
            </w:tblGrid>
            <w:tr>
              <w:trPr>
                <w:cantSplit/>
                <w:tblHeader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shd w:fill="082C4A"/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Security / valuation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Ticker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NVDA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Analysis date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2026-10-03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Dated close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USD 233.95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Base DCF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USD 92.08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DCF / close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-60.6%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Bear / bull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71.87 / 114.81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WACC / g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10.0% / 2.0%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Terminal / EV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72.9%</w:t>
                  </w:r>
                </w:p>
              </w:tc>
            </w:tr>
          </w:tbl>
          <w:p/>
          <w:p>
            <w:pPr>
              <w:widowControl w:val="0"/>
              <w:spacing w:after="100" w:before="0" w:line="225" w:lineRule="exact"/>
            </w:pPr>
            <w:r>
              <w:rPr>
                <w:rFonts w:ascii="Arial" w:hAnsi="Arial"/>
                <w:b/>
                <w:sz w:val="18"/>
              </w:rPr>
              <w:t>Snapshot dates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Annual anchor 2026-01-25; stock close 2026-10-02. Reporting currency USD; trading currency USD. Current balances are not implied.</w:t>
            </w:r>
          </w:p>
          <w:p>
            <w:pPr>
              <w:widowControl w:val="0"/>
              <w:spacing w:after="100" w:before="0" w:line="225" w:lineRule="exact"/>
            </w:pPr>
            <w:r>
              <w:rPr>
                <w:rFonts w:ascii="Arial" w:hAnsi="Arial"/>
                <w:b/>
                <w:sz w:val="18"/>
              </w:rPr>
              <w:t>Bridge proxies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Cash and recognized short investments less operating reserve, debt, senior claims and book NCI. Unrecognized long-term stakes require separate review.</w:t>
            </w:r>
          </w:p>
          <w:p>
            <w:pPr>
              <w:widowControl w:val="0"/>
              <w:spacing w:after="140" w:before="0" w:line="164" w:lineRule="exact"/>
            </w:pPr>
            <w:r>
              <w:rPr>
                <w:rFonts w:ascii="Arial" w:hAnsi="Arial"/>
                <w:b w:val="0"/>
                <w:color w:val="666666"/>
                <w:sz w:val="14"/>
              </w:rPr>
              <w:t xml:space="preserve">Sources: frozen public financial feeds and matched SEC tags where available. Secondary fields require filing review. Amounts are reporting-currency millions unless stated. </w:t>
            </w:r>
          </w:p>
        </w:tc>
      </w:tr>
    </w:tbl>
    <w:p>
      <w:pPr>
        <w:spacing w:after="0" w:before="0" w:line="20" w:lineRule="exact"/>
        <w:sectPr>
          <w:headerReference w:type="default" r:id="rId9"/>
          <w:footerReference w:type="default" r:id="rId10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Why profitability and cash conversion changed</w:t>
      </w:r>
    </w:p>
    <w:p>
      <w:pPr>
        <w:widowControl w:val="0"/>
        <w:spacing w:after="180" w:before="0" w:line="360" w:lineRule="exact"/>
      </w:pPr>
      <w:r>
        <w:rPr>
          <w:rFonts w:ascii="Arial" w:hAnsi="Arial"/>
          <w:b w:val="0"/>
          <w:sz w:val="22"/>
        </w:rPr>
        <w:t>Profitability improved through FY2024 and FY2025 before a modest pullback in FY2026. Revenue rose from USD 26,974.0 million in FY2023 [F01] to USD 130,497.0 million in FY2025 [F03] and USD 215,938.0 million in FY2026 [F04]. EBIT margin increased from 15.7% [F01] to 54.1% [F02] and 62.4% [F03], then eased to 60.4% [F04]; parent net margin reached 55.8% [F03] and 55.6% [F04]. Parent ROE was 91.5% [F02], 119.2% [F03] and 101.5% [F04], after FY2023 was unavailable [F01]. No management, segment, product, order, pricing or cost-line evidence is supplied, so the increase cannot be confidently attributed to AI, demand, mix, pricing or cost control; those are competing explanations, not established drivers.</w:t>
      </w:r>
    </w:p>
    <w:p>
      <w:pPr>
        <w:widowControl w:val="0"/>
        <w:spacing w:after="180" w:before="0" w:line="360" w:lineRule="exact"/>
      </w:pPr>
      <w:r>
        <w:rPr>
          <w:rFonts w:ascii="Arial" w:hAnsi="Arial"/>
          <w:b w:val="0"/>
          <w:sz w:val="22"/>
        </w:rPr>
        <w:t>Cash conversion weakened: CFO divided by parent profit was 1.29x in FY2023 [F01], 0.94x in FY2024 [F02], 0.88x in FY2025 [F03] and 0.86x in FY2026 [F04]. That ratio relates operating cash flow to parent profit, not consolidated EBIT, and the packet lacks cash-flow components needed to isolate the cause. Working-capital builds, higher cash taxes or timing differences could explain lower conversion, but none is verified. Stock-based compensation and other non-cash items require reconciliation before their effect can be inferred. A01 assumes a 22.5% trade-working-capital ratio, but that is a valuation input, not observed FY2026 cash flow; the proxy omits prepayments, contract assets and customer advances [L01]. Cash-flow statements, working-capital changes, tax and SBC disclosures, plus segment and order data would distinguish these explanations; none is supplied.</w:t>
      </w:r>
    </w:p>
    <w:p>
      <w:pPr>
        <w:widowControl w:val="0"/>
        <w:spacing w:after="100" w:before="0" w:line="250" w:lineRule="exact"/>
      </w:pPr>
      <w:r>
        <w:rPr>
          <w:rFonts w:ascii="Arial" w:hAnsi="Arial"/>
          <w:b/>
          <w:sz w:val="20"/>
        </w:rPr>
        <w:t>Evidence and calculation references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[F01] to [F04] identify chronological annual periods in the appendix.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[C01] Calculated DCF values and price comparison. [A01] Explicit assumptions and equity bridge.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[X01] Dated currency conversion. [L01] Source, accounting and model limitations. Full field references are retained in the evidence package.</w:t>
      </w:r>
    </w:p>
    <w:p>
      <w:pPr>
        <w:spacing w:after="0" w:before="0" w:line="20" w:lineRule="exact"/>
        <w:sectPr>
          <w:footerReference w:type="default" r:id="rId12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Cash allocation, reinvestment and valuation assumptions</w:t>
      </w:r>
    </w:p>
    <w:p>
      <w:pPr>
        <w:widowControl w:val="0"/>
        <w:spacing w:after="180" w:before="0" w:line="360" w:lineRule="exact"/>
      </w:pPr>
      <w:r>
        <w:rPr>
          <w:rFonts w:ascii="Arial" w:hAnsi="Arial"/>
          <w:b w:val="0"/>
          <w:sz w:val="22"/>
        </w:rPr>
        <w:t>The annual bridge freezes cash at USD 10,605.0 million, investments at USD 51,951.0 million, debt at USD 11,040.0 million and shares at 24,304.000 million [A01]. The USD 21,593.8 million operating cash reserve is not distributable cash, and investments cannot be treated as immediately available liquidity without liquidity and tax review [L01]. The packet does not show dividends, buybacks or other allocations, so actual cash allocation cannot be inferred; post-anchor actions are not bridged [L01]. The net bridge is USD 1.23 per share [C01], but it is a modelled residual, not observed distributable value. Shares are frozen annually, not current, and do not capture dilution or buybacks [L01].</w:t>
      </w:r>
    </w:p>
    <w:p>
      <w:pPr>
        <w:widowControl w:val="0"/>
        <w:spacing w:after="180" w:before="0" w:line="360" w:lineRule="exact"/>
      </w:pPr>
      <w:r>
        <w:rPr>
          <w:rFonts w:ascii="Arial" w:hAnsi="Arial"/>
          <w:b w:val="0"/>
          <w:sz w:val="22"/>
        </w:rPr>
        <w:t>The DCF base is USD 92.08 per share versus a close of USD 233.95 on 2026-10-02, a 60.6% base downside; bull/bear values are separate assumptions [C01]. Terminal EV is 72.9% of value, so WACC, perpetual growth and terminal margin are material [C01]. A01 assumes 25.0% revenue growth, 60.4% EBIT margin, 10.0% WACC, 2.0% perpetual growth, 12.0% stable ROIC and 22.5% trade NWC; capex is 2.8% and D&amp;A 1.3%. These are assumptions, not probabilities or forecasts. The positive NWC ratio means growth consumes cash through the trade proxy, while capex above D&amp;A implies reinvestment. The model indicates a discount versus the close, not a small premium, but it remains assumption-driven and constrained by missing current balances and operating evidence [L01].</w:t>
      </w:r>
    </w:p>
    <w:p>
      <w:pPr>
        <w:widowControl w:val="0"/>
        <w:spacing w:after="100" w:before="0" w:line="250" w:lineRule="exact"/>
      </w:pPr>
      <w:r>
        <w:rPr>
          <w:rFonts w:ascii="Arial" w:hAnsi="Arial"/>
          <w:b/>
          <w:sz w:val="20"/>
        </w:rPr>
        <w:t>Evidence and calculation references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[F01] to [F04] identify chronological annual periods in the appendix.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[C01] Calculated DCF values and price comparison. [A01] Explicit assumptions and equity bridge.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[X01] Dated currency conversion. [L01] Source, accounting and model limitations. Full field references are retained in the evidence package.</w:t>
      </w:r>
    </w:p>
    <w:p>
      <w:pPr>
        <w:spacing w:after="0" w:before="0" w:line="20" w:lineRule="exact"/>
        <w:sectPr>
          <w:footerReference w:type="default" r:id="rId14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Issuer scope and reporting comparability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0"/>
        <w:gridCol w:w="3980"/>
      </w:tblGrid>
      <w:tr>
        <w:tc>
          <w:tcPr>
            <w:tcW w:type="dxa" w:w="6660"/>
            <w:tcMar>
              <w:top w:w="0" w:type="dxa"/>
              <w:bottom w:w="0" w:type="dxa"/>
              <w:left w:w="0" w:type="dxa"/>
              <w:right w:w="160" w:type="dxa"/>
            </w:tcMar>
            <w:tcBorders>
              <w:right w:val="single" w:sz="3" w:color="8F969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80" w:before="0" w:line="260" w:lineRule="exact"/>
            </w:pPr>
            <w:r>
              <w:rPr>
                <w:rFonts w:ascii="Arial" w:hAnsi="Arial"/>
                <w:b w:val="0"/>
                <w:sz w:val="19"/>
              </w:rPr>
              <w:t>The selected security is NVIDIA Corporation, US NVDA. The report uses 4 annual observations; it does not substitute a parent group or another listing.</w:t>
            </w:r>
          </w:p>
          <w:p>
            <w:pPr>
              <w:widowControl w:val="0"/>
              <w:spacing w:after="180" w:before="0" w:line="260" w:lineRule="exact"/>
            </w:pPr>
            <w:r>
              <w:rPr>
                <w:rFonts w:ascii="Arial" w:hAnsi="Arial"/>
                <w:b w:val="0"/>
                <w:sz w:val="19"/>
              </w:rPr>
              <w:t>SEC-matched periods use actual filing fiscal ends. Other observations retain the vendor period and source status. Publication cutoffs, restatements, mergers and accounting definitions require issuer reconciliation; no uninterrupted economic perimeter is inferred from availability alone.</w:t>
            </w:r>
          </w:p>
          <w:p>
            <w:pPr>
              <w:widowControl w:val="0"/>
              <w:spacing w:after="180" w:before="0" w:line="260" w:lineRule="exact"/>
            </w:pPr>
            <w:r>
              <w:rPr>
                <w:rFonts w:ascii="Arial" w:hAnsi="Arial"/>
                <w:b w:val="0"/>
                <w:sz w:val="19"/>
              </w:rPr>
              <w:t>Parent-attributable profit and average parent equity are matched for ROE. Consolidated operating cash flow / parent profit is a diagnostic comparison, not a scope-matched accounting identity.</w:t>
            </w:r>
          </w:p>
        </w:tc>
        <w:tc>
          <w:tcPr>
            <w:tcW w:type="dxa" w:w="3980"/>
            <w:tcMar>
              <w:top w:w="0" w:type="dxa"/>
              <w:bottom w:w="0" w:type="dxa"/>
              <w:left w:w="18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Issuer identifiers</w:t>
            </w:r>
          </w:p>
          <w:p>
            <w:pPr>
              <w:widowControl w:val="0"/>
              <w:spacing w:after="180" w:before="0" w:line="260" w:lineRule="exact"/>
            </w:pPr>
            <w:r>
              <w:rPr>
                <w:rFonts w:ascii="Arial" w:hAnsi="Arial"/>
                <w:b w:val="0"/>
                <w:sz w:val="18"/>
              </w:rPr>
              <w:t>NVIDIA Corporation</w:t>
              <w:br/>
              <w:t>US NVDA</w:t>
              <w:br/>
              <w:t>Reporting: USD</w:t>
              <w:br/>
              <w:t>Quote: USD</w:t>
            </w:r>
          </w:p>
          <w:p>
            <w:pPr>
              <w:widowControl w:val="0"/>
              <w:spacing w:after="100" w:before="0" w:line="225" w:lineRule="exact"/>
            </w:pPr>
            <w:r>
              <w:rPr>
                <w:rFonts w:ascii="Arial" w:hAnsi="Arial"/>
                <w:b/>
                <w:sz w:val="18"/>
              </w:rPr>
              <w:t>Version discipline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7"/>
              </w:rPr>
              <w:t>Snapshots retain original values, field references, URL provenance and response hashes. Missing data stays unavailable. Source status is not upgraded merely because arithmetic passes.</w:t>
            </w:r>
          </w:p>
        </w:tc>
      </w:tr>
    </w:tbl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16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Profitability cash conversion and DuPont</w:t>
      </w:r>
    </w:p>
    <w:p>
      <w:pPr>
        <w:widowControl w:val="0"/>
        <w:spacing w:after="180" w:before="0" w:line="260" w:lineRule="exact"/>
      </w:pPr>
      <w:r>
        <w:rPr>
          <w:rFonts w:ascii="Arial" w:hAnsi="Arial"/>
          <w:b w:val="0"/>
          <w:sz w:val="19"/>
        </w:rPr>
        <w:t>Profit margin, cash conversion and balance-sheet returns answer different questions. Parent ROE uses parent-attributable profit and average parent equity; the three-factor identity uses matching balances throughout. Missing opening balances remain unavailable.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100"/>
        <w:gridCol w:w="1635"/>
        <w:gridCol w:w="1635"/>
        <w:gridCol w:w="1635"/>
        <w:gridCol w:w="1635"/>
      </w:tblGrid>
      <w:tr>
        <w:trPr>
          <w:cantSplit/>
          <w:tblHeader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2023-01-29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2024-01-28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2025-01-26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2026-01-25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Revenue growth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125.9%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114.2%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65.5%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EBIT margin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15.7%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54.1%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62.4%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60.4%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Parent net margin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16.2%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48.8%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55.8%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55.6%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CFO / parent profit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1.29x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0.94x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0.88x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0.86x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Parent ROE, average equity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91.5%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119.2%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101.5%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Asset turnover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1.14x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1.47x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1.36x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Assets / parent equity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1.64x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1.45x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1.35x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100"/>
        <w:gridCol w:w="1635"/>
        <w:gridCol w:w="1635"/>
        <w:gridCol w:w="1635"/>
        <w:gridCol w:w="1635"/>
      </w:tblGrid>
      <w:tr>
        <w:trPr>
          <w:cantSplit/>
          <w:tblHeader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DuPont reconciliation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2023-01-29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2024-01-28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2025-01-26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2026-01-25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Direct parent ROE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91.5%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119.2%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101.5%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Three-factor product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91.5%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119.2%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101.5%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Absolute identity error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0.00e+00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0.00e+00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2.22e-16</w:t>
            </w:r>
          </w:p>
        </w:tc>
      </w:tr>
    </w:tbl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18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Five year operating forecast</w:t>
      </w:r>
    </w:p>
    <w:p>
      <w:pPr>
        <w:widowControl w:val="0"/>
        <w:spacing w:after="180" w:before="0" w:line="260" w:lineRule="exact"/>
      </w:pPr>
      <w:r>
        <w:rPr>
          <w:rFonts w:ascii="Arial" w:hAnsi="Arial"/>
          <w:b w:val="0"/>
          <w:sz w:val="19"/>
        </w:rPr>
        <w:t>Forecasts are explicit assumptions, not management guidance. The model projects the issuer in aggregate; there is no verified segment, product or order forecast in this packet. The first annual FCFF is prorated to the days remaining after the analysis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000"/>
        <w:gridCol w:w="1528"/>
        <w:gridCol w:w="1528"/>
        <w:gridCol w:w="1528"/>
        <w:gridCol w:w="1528"/>
        <w:gridCol w:w="1528"/>
      </w:tblGrid>
      <w:tr>
        <w:trPr>
          <w:cantSplit/>
          <w:tblHeader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Base drivers / forecast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2027E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2028E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2029E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2030E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2031E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Revenue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269,922.5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324,986.7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376,334.6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418,484.1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446,104.0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EBIT margin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60.4%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60.4%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60.4%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60.4%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60.4%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EBIT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162,983.8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196,232.4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227,237.2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252,687.7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269,365.1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Operating tax rate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15.1%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15.1%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15.1%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15.1%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15.1%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D&amp;A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3,553.8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4,278.7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4,954.8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5,509.7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5,873.3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Capex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7,552.5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9,093.2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10,529.9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11,709.3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12,482.1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Trade NWC proxy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60,847.5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73,260.4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84,835.5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94,337.1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100,563.4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Full year FCFF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122,177.2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149,340.6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175,735.4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198,787.7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215,810.2</w:t>
            </w:r>
          </w:p>
        </w:tc>
      </w:tr>
    </w:tbl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8"/>
        </w:rPr>
        <w:t>Initial growth 25.0% fades toward perpetual growth. Historical D&amp;A / revenue 1.3%, capex / revenue 2.8% and trade NWC / revenue 22.5% are mechanical drivers unless explicitly overridden. Vendor EBIT requires accounting reconciliation before interpretation as core operating profit.</w:t>
      </w:r>
    </w:p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20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DCF comparison | Three operating scenarios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0"/>
        <w:gridCol w:w="3980"/>
      </w:tblGrid>
      <w:tr>
        <w:tc>
          <w:tcPr>
            <w:tcW w:type="dxa" w:w="6660"/>
            <w:tcMar>
              <w:top w:w="0" w:type="dxa"/>
              <w:bottom w:w="0" w:type="dxa"/>
              <w:left w:w="0" w:type="dxa"/>
              <w:right w:w="160" w:type="dxa"/>
            </w:tcMar>
            <w:tcBorders>
              <w:right w:val="single" w:sz="3" w:color="8F969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00" w:before="0" w:line="275" w:lineRule="exact"/>
            </w:pPr>
            <w:r>
              <w:rPr>
                <w:rFonts w:ascii="Arial" w:hAnsi="Arial"/>
                <w:b/>
                <w:sz w:val="22"/>
              </w:rPr>
              <w:t>BASE DCF USD 92.08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FCFF / WACC as of 2026-10-03. Five explicit years and normalized terminal reinvestment.</w:t>
            </w:r>
          </w:p>
          <w:p>
            <w:pPr>
              <w:spacing w:line="240" w:lineRule="auto" w:after="80"/>
            </w:pPr>
            <w:r>
              <w:drawing>
                <wp:inline xmlns:a="http://schemas.openxmlformats.org/drawingml/2006/main" xmlns:pic="http://schemas.openxmlformats.org/drawingml/2006/picture">
                  <wp:extent cx="4127500" cy="2306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f_compariso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0" cy="2306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after="180" w:before="0" w:line="200" w:lineRule="exact"/>
            </w:pPr>
            <w:r>
              <w:rPr>
                <w:rFonts w:ascii="Arial" w:hAnsi="Arial"/>
                <w:b w:val="0"/>
                <w:sz w:val="15"/>
              </w:rPr>
              <w:t>Connections compare values with the dated close. No price path or scenario probability is assigned.</w:t>
            </w:r>
          </w:p>
        </w:tc>
        <w:tc>
          <w:tcPr>
            <w:tcW w:type="dxa" w:w="3980"/>
            <w:tcMar>
              <w:top w:w="0" w:type="dxa"/>
              <w:bottom w:w="0" w:type="dxa"/>
              <w:left w:w="18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Shared valuation inputs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</w:tblPr>
            <w:tblGrid>
              <w:gridCol w:w="2500"/>
              <w:gridCol w:w="1240"/>
            </w:tblGrid>
            <w:tr>
              <w:trPr>
                <w:cantSplit/>
                <w:tblHeader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shd w:fill="082C4A"/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Assumption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WACC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10.0%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Perpetual growth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Stable ROIC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12.0%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Stable tax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15.1%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Base stable margin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60.4%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TV / EV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72.9%</w:t>
                  </w:r>
                </w:p>
              </w:tc>
            </w:tr>
          </w:tbl>
          <w:p/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WACC and stable ROIC are explicit assumptions. Terminal share measures sensitivity; it does not validate forecast accuracy.</w:t>
            </w:r>
          </w:p>
        </w:tc>
      </w:tr>
    </w:tbl>
    <w:p>
      <w:pPr>
        <w:widowControl w:val="0"/>
        <w:spacing w:after="100" w:before="0" w:line="275" w:lineRule="exact"/>
      </w:pPr>
      <w:r>
        <w:rPr>
          <w:rFonts w:ascii="Arial" w:hAnsi="Arial"/>
          <w:b/>
          <w:sz w:val="22"/>
        </w:rPr>
        <w:t>Operating cases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47"/>
        <w:gridCol w:w="3547"/>
        <w:gridCol w:w="3547"/>
      </w:tblGrid>
      <w:tr>
        <w:tc>
          <w:tcPr>
            <w:tcW w:type="dxa" w:w="3540"/>
          </w:tcPr>
          <w:p/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BULL USD 114.81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7"/>
              </w:rPr>
              <w:t>DCF / close -50.9%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Growth is base plus 5 percentage points; margin plus 2 points and NWC ratio minus 1 point.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2031E revenue 551,451.4m; EBIT margin 62.4%. Stable margin 62.4%.</w:t>
            </w:r>
          </w:p>
        </w:tc>
        <w:tc>
          <w:tcPr>
            <w:tcW w:type="dxa" w:w="3540"/>
          </w:tcPr>
          <w:p/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BASE USD 92.08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7"/>
              </w:rPr>
              <w:t>DCF / close -60.6%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Recent growth fades toward perpetual growth. Margin, D&amp;A and reinvestment ratios follow the disclosed base assumptions.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2031E revenue 446,104.0m; EBIT margin 60.4%. Stable margin 60.4%.</w:t>
            </w:r>
          </w:p>
        </w:tc>
        <w:tc>
          <w:tcPr>
            <w:tcW w:type="dxa" w:w="3540"/>
          </w:tcPr>
          <w:p/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BEAR USD 71.87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7"/>
              </w:rPr>
              <w:t>DCF / close -69.3%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Growth is base minus 5 points; margin minus 3 points, capex ratio plus 0.5 point and NWC ratio plus 2 points.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2031E revenue 357,498.4m; EBIT margin 57.4%. Stable margin 57.4%.</w:t>
            </w:r>
          </w:p>
        </w:tc>
      </w:tr>
    </w:tbl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22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DCF calculation detail | USD million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0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cantSplit/>
          <w:tblHeader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Year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Revenue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EBIT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NOPAT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D&amp;A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Capex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Change NWC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Annual FCFF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Fraction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FCFF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DF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PV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2027E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280,719.4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175,117.5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148,645.0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3,695.9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7,854.6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11,796.2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132,690.1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0.3123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41,442.9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0.97067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40,227.4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2028E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352,022.1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219,597.3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186,400.8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4,634.7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9,849.7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15,360.4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165,825.3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165,825.3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0.88243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146,328.9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2029E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425,242.7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265,273.6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225,172.2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5,598.7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11,898.4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15,773.6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203,098.8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203,098.8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0.80200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162,884.8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2030E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494,132.1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308,247.9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261,650.1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6,505.7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13,825.9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14,840.5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239,489.2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239,489.2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0.72909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174,608.9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2031E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551,451.4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344,004.6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292,001.5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7,260.3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15,429.7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12,348.1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271,484.0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271,484.0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0.66281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179,941.7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2027E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269,922.5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162,983.8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138,345.5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3,553.8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7,552.5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12,169.5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122,177.2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0.3123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38,159.5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0.97067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37,040.3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2028E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324,986.7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196,232.4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166,568.0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4,278.7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9,093.2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12,412.9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149,340.6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149,340.6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0.88243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131,782.3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2029E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376,334.6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227,237.2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192,885.7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4,954.8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10,529.9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11,575.1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175,735.4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175,735.4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0.80200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140,939.4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2030E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418,484.1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252,687.7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214,488.9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5,509.7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11,709.3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9,501.6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198,787.7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198,787.7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0.72909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144,933.9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2031E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446,104.0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269,365.1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228,645.2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5,873.3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12,482.1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6,226.2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215,810.2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215,810.2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0.66281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143,040.7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2027E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259,125.6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148,690.6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126,213.1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3,411.6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8,546.0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14,918.1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106,160.5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0.3123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33,157.0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0.97067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32,184.5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2028E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299,030.9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171,589.0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145,649.9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3,937.0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9,862.1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9,793.8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129,930.9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129,930.9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0.88243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114,654.7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2029E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331,326.3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190,120.6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161,380.1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4,362.2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10,927.2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7,926.1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146,888.9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146,888.9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0.80200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117,804.6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2030E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351,868.5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201,908.1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171,385.6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4,632.6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11,604.7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5,041.6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159,372.0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159,372.0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0.72909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116,196.3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2031E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357,498.4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205,138.6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174,127.8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4,706.8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11,790.4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1,381.7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165,662.4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165,662.4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0.66281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109,802.4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800"/>
        <w:gridCol w:w="3147"/>
        <w:gridCol w:w="3147"/>
        <w:gridCol w:w="3147"/>
      </w:tblGrid>
      <w:tr>
        <w:trPr>
          <w:cantSplit/>
          <w:tblHeader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Terminal / value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Bull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Bear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Stable FCFF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248,201.2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194,348.4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148,008.6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Terminal value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3,102,515.5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2,429,355.0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1,850,107.9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PV of terminal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2,056,372.0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1,610,195.9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1,226,266.3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PV of explicit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703,991.7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597,736.5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490,642.5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Operating EV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2,760,363.8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2,207,932.4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1,716,908.7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Equity value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2,790,286.0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2,237,854.6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1,746,830.9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USD / share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114.81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92.08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71.87</w:t>
            </w:r>
          </w:p>
        </w:tc>
      </w:tr>
    </w:tbl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Annual FCFF = NOPAT + D&amp;A - capex - change in trade NWC. The first fraction and actual/365 discount factor are shown explicitly. Stable FCFF = normalized NOPAT x (1 - growth / ROIC). Amounts stay in USD; only per-share outputs are translated.</w:t>
      </w:r>
    </w:p>
    <w:p>
      <w:pPr>
        <w:spacing w:after="0" w:before="0" w:line="20" w:lineRule="exact"/>
        <w:sectPr>
          <w:footerReference w:type="default" r:id="rId25"/>
          <w:pgSz w:w="15840" w:h="12240" w:orient="landscape"/>
          <w:pgMar w:top="88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Equity bridge and sensitivity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0"/>
        <w:gridCol w:w="3980"/>
      </w:tblGrid>
      <w:tr>
        <w:tc>
          <w:tcPr>
            <w:tcW w:type="dxa" w:w="6660"/>
            <w:tcMar>
              <w:top w:w="0" w:type="dxa"/>
              <w:bottom w:w="0" w:type="dxa"/>
              <w:left w:w="0" w:type="dxa"/>
              <w:right w:w="160" w:type="dxa"/>
            </w:tcMar>
            <w:tcBorders>
              <w:right w:val="single" w:sz="3" w:color="8F969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</w:tblPr>
            <w:tblGrid>
              <w:gridCol w:w="4200"/>
              <w:gridCol w:w="2300"/>
            </w:tblGrid>
            <w:tr>
              <w:trPr>
                <w:cantSplit/>
                <w:tblHeader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shd w:fill="082C4A"/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Base bridge | USD mm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Amount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Operating EV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2,207,932.4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Cash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10,605.0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Investments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51,951.0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Operating Cash Reserve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21,593.8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Debt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11,040.0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Other Senior Claims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0.0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Nci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0.0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Non Operating Assets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0.0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Shares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24,304.000000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Equity value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2,237,854.6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USD / share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92.08</w:t>
                  </w:r>
                </w:p>
              </w:tc>
            </w:tr>
          </w:tbl>
          <w:p/>
        </w:tc>
        <w:tc>
          <w:tcPr>
            <w:tcW w:type="dxa" w:w="3980"/>
            <w:tcMar>
              <w:top w:w="0" w:type="dxa"/>
              <w:bottom w:w="0" w:type="dxa"/>
              <w:left w:w="18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</w:tblPr>
            <w:tblGrid>
              <w:gridCol w:w="780"/>
              <w:gridCol w:w="592"/>
              <w:gridCol w:w="592"/>
              <w:gridCol w:w="592"/>
              <w:gridCol w:w="592"/>
              <w:gridCol w:w="592"/>
            </w:tblGrid>
            <w:tr>
              <w:trPr>
                <w:cantSplit/>
                <w:tblHeader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WACC / g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1.0%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1.5%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2.0%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2.5%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3.0%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9.0%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101.50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103.25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105.20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107.41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109.95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9.5%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95.40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96.73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98.20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99.85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101.71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10.0%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89.97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90.98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92.08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93.29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94.64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10.5%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85.12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85.87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86.67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87.55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88.51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11.0%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80.75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81.30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81.87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82.48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83.14</w:t>
                  </w:r>
                </w:p>
              </w:tc>
            </w:tr>
          </w:tbl>
          <w:p/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Sensitivity in USD/share. Centre equals the base model. Other operating and bridge assumptions are held fixed.</w:t>
            </w:r>
          </w:p>
        </w:tc>
      </w:tr>
    </w:tbl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8"/>
        </w:rPr>
        <w:t>Reporting currency USD; quoted currency USD. Conversion uses 1.000000 USD per USD, dated 2026-10-02.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8"/>
        </w:rPr>
        <w:t>Cash and recognized short investments enter the bridge after the operating reserve. Debt, senior claims and NCI are deducted once; additional non-operating asset recognition is a separate explicit policy.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8"/>
        </w:rPr>
        <w:t>NCI is a book-value proxy. Annual cash, debt and shares are frozen unless overridden. Subsequent distributions, buybacks, financing, dilution and changes in investment fair value are not automatically bridged.</w:t>
      </w:r>
    </w:p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27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Historical financial appendix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100"/>
        <w:gridCol w:w="2535"/>
        <w:gridCol w:w="2535"/>
        <w:gridCol w:w="2535"/>
        <w:gridCol w:w="2535"/>
      </w:tblGrid>
      <w:tr>
        <w:trPr>
          <w:cantSplit/>
          <w:tblHeader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USD million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2023-01-29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2024-01-28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2025-01-26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2026-01-25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Revenue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26,974.0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60,922.0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130,497.0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215,938.0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Reported operating EBIT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4,224.0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32,972.0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81,453.0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130,387.0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Parent net income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4,368.0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29,760.0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72,880.0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120,067.0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Cash from operations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5,641.0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28,090.0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64,089.0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102,718.0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Capital expenditure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1,833.0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1,069.0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3,236.0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6,042.0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Depreciation / amortization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1,544.0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1,508.0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1,864.0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2,843.0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Total assets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41,182.0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65,728.0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111,601.0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206,803.0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Parent equity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22,101.0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42,978.0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79,327.0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157,293.0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Cash equivalents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3,389.0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7,280.0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8,589.0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10,605.0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Recognized short investments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9,907.0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18,704.0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34,621.0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51,951.0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Debt / leases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12,031.0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11,056.0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9,982.0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11,040.0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NCI book balance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Ordinary shares million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2,466.0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24,643.0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24,477.0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24,304.0</w:t>
            </w:r>
          </w:p>
        </w:tc>
      </w:tr>
    </w:tbl>
    <w:p>
      <w:pPr>
        <w:widowControl w:val="0"/>
        <w:spacing w:after="180" w:before="0" w:line="260" w:lineRule="exact"/>
      </w:pPr>
      <w:r>
        <w:rPr>
          <w:rFonts w:ascii="Arial" w:hAnsi="Arial"/>
          <w:b w:val="0"/>
          <w:sz w:val="18"/>
        </w:rPr>
        <w:t>Periods retain their fiscal dates and source definitions. Historical share units may retain pre-split observations and are not used to infer per-share growth. Unavailable fields are missing observations, not factual zero balances.</w:t>
      </w:r>
    </w:p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29"/>
          <w:pgSz w:w="15840" w:h="12240" w:orient="landscape"/>
          <w:pgMar w:top="88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Method evidence and limitations</w:t>
      </w:r>
    </w:p>
    <w:p>
      <w:pPr>
        <w:widowControl w:val="0"/>
        <w:spacing w:after="180" w:before="0" w:line="260" w:lineRule="exact"/>
      </w:pPr>
      <w:r>
        <w:rPr>
          <w:rFonts w:ascii="Arial" w:hAnsi="Arial"/>
          <w:b w:val="0"/>
          <w:sz w:val="19"/>
        </w:rPr>
        <w:t>FCFF discounts operating cash flows at WACC; financial claims enter the equity bridge. Terminal cash flow normalizes reinvestment using growth / stable ROIC. WACC must exceed perpetual growth. The chart compares scenario values with a dated close, not a future price path.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700"/>
        <w:gridCol w:w="4470"/>
        <w:gridCol w:w="4470"/>
      </w:tblGrid>
      <w:tr>
        <w:trPr>
          <w:cantSplit/>
          <w:tblHeader/>
        </w:trPr>
        <w:tc>
          <w:tcPr>
            <w:tcW w:type="dxa" w:w="17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 ID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Kind / host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Retrieved</w:t>
            </w:r>
          </w:p>
        </w:tc>
      </w:tr>
      <w:tr>
        <w:trPr>
          <w:cantSplit/>
        </w:trPr>
        <w:tc>
          <w:tcPr>
            <w:tcW w:type="dxa" w:w="1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S1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secondary_public_feed / query1.finance.yahoo.com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2026-10-03</w:t>
            </w:r>
          </w:p>
        </w:tc>
      </w:tr>
      <w:tr>
        <w:trPr>
          <w:cantSplit/>
        </w:trPr>
        <w:tc>
          <w:tcPr>
            <w:tcW w:type="dxa" w:w="1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S2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secondary_public_feed / query1.finance.yahoo.com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2026-10-03</w:t>
            </w:r>
          </w:p>
        </w:tc>
      </w:tr>
      <w:tr>
        <w:trPr>
          <w:cantSplit/>
        </w:trPr>
        <w:tc>
          <w:tcPr>
            <w:tcW w:type="dxa" w:w="1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S3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official_sec / efts.sec.gov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2026-10-03</w:t>
            </w:r>
          </w:p>
        </w:tc>
      </w:tr>
      <w:tr>
        <w:trPr>
          <w:cantSplit/>
        </w:trPr>
        <w:tc>
          <w:tcPr>
            <w:tcW w:type="dxa" w:w="1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S4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official_sec / data.sec.gov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2026-10-03</w:t>
            </w:r>
          </w:p>
        </w:tc>
      </w:tr>
    </w:tbl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SEC tags are selected by matching period and annual duration. Unmatched fields remain explicitly marked secondary; custom XBRL tags are not guessed.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Secondary financial feeds are not independently verified against issuer filings; publication cutoff and restatement scope require review.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Annual shares and bridge balances are frozen at the latest annual end, not assumed to be current. Corporate actions since that date require review.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Trade working capital proxy omits unavailable prepayments, contract assets and customer advances.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A report is a research draft with explicit assumptions, not a brokerage recommendation.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NCI deduction is an explicit zero-recognition assumption because the feed omitted this field; this is not proof that no minority claims exist.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Defaults are transparent scenario seeds, not analyst-validated fair-value assumptions: latest margin, capped recent growth fading to perpetual growth, historical D&amp;A/capex ratios, 10% revenue operating reserve, 10% WACC and 12% terminal ROIC unless overridden.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Latest annual cash/debt/share balances are frozen unless explicitly overridden; subsequent dividends, buybacks, financing, dilution and interim results are not automatically bridged.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NCI is deducted at book value; unrecognized non-operating stakes, assets and senior claims may materially change value.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First future fiscal cash flow is prorated by days remaining; same-calendar-date fiscal forecasts approximate 52/53-week calendars. Stock-based compensation is not deducted separately and future dilution is not forecast.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Trade NWC uses receivables + inventory - payables - deferred revenue. Missing components are omitted; this proxy excludes other operating current balances. Vendor operating-profit definitions may include investment or finance items and require filing reconciliation before use as core EBIT.</w:t>
      </w:r>
    </w:p>
    <w:p>
      <w:pPr>
        <w:spacing w:after="0" w:before="0" w:line="20" w:lineRule="exact"/>
        <w:sectPr>
          <w:footerReference w:type="default" r:id="rId31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Financial source locators | 1-40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700"/>
        <w:gridCol w:w="2385"/>
        <w:gridCol w:w="2385"/>
        <w:gridCol w:w="2385"/>
        <w:gridCol w:w="2385"/>
      </w:tblGrid>
      <w:tr>
        <w:trPr>
          <w:cantSplit/>
          <w:tblHeader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Fact ID / fiscal end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Raw value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Source ID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Field locator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F01.2023-01-29.cfo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5,641,000,000.00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NetCashProvidedByUsedInOperatin...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F01.2023-01-29.cash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3,389,000,000.00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CashAndCashEquivalentsAtCarryin...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-187,000,000.00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IncomeTaxExpenseBenefit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26,974,000,000.00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Revenues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F01.2023-01-29.parent_income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4,368,000,000.00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NetIncomeLoss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F01.2023-01-29.assets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41,182,000,000.00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F01.2023-01-29.inventory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5,159,000,000.00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InventoryNet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F01.2023-01-29.debt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12,031,000,000.00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annualTotalDebt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2,466,000,000.00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CommonStockSharesOutstanding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F01.2023-01-29.capex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1,833,000,000.00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PaymentsToAcquireProductiveAssets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F01.2023-01-29.da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1,544,000,000.00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DepreciationDepletionAndAmortiz...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F01.2023-01-29.payables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1,193,000,000.00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AccountsPayableCurrent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F01.2023-01-29.equity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22,101,000,000.00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StockholdersEquity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F01.2023-01-29.deferred_revenue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354,000,000.00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annualCurrentDeferredRevenue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F01.2023-01-29.pretax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4,181,000,000.00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IncomeLossFromContinuingOperati...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F01.2023-01-29.investments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9,907,000,000.00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MarketableSecuritiesCurrent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F01.2023-01-29.ebit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4,224,000,000.00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OperatingIncomeLoss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F01.2023-01-29.receivables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3,827,000,000.00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AccountsReceivableNetCurrent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F01.2023-01-29.cost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11,618,000,000.00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CostOfRevenue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F02.2024-01-28.cfo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28,090,000,000.00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NetCashProvidedByUsedInOperatin...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F02.2024-01-28.cash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7,280,000,000.00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CashAndCashEquivalentsAtCarryin...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4,058,000,000.00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IncomeTaxExpenseBenefit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60,922,000,000.00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Revenues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F02.2024-01-28.parent_income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29,760,000,000.00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NetIncomeLoss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F02.2024-01-28.assets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65,728,000,000.00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F02.2024-01-28.inventory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5,282,000,000.00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InventoryNet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F02.2024-01-28.debt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11,056,000,000.00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annualTotalDebt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24,643,000,000.00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CommonStockSharesOutstanding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F02.2024-01-28.capex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1,069,000,000.00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PaymentsToAcquireProductiveAssets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F02.2024-01-28.da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1,508,000,000.00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DepreciationDepletionAndAmortiz...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F02.2024-01-28.payables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2,699,000,000.00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AccountsPayableCurrent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F02.2024-01-28.equity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42,978,000,000.00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StockholdersEquity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F02.2024-01-28.deferred_revenue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764,000,000.00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annualCurrentDeferredRevenue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F02.2024-01-28.pretax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33,818,000,000.00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IncomeLossFromContinuingOperati...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F02.2024-01-28.investments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18,704,000,000.00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MarketableSecuritiesCurrent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F02.2024-01-28.ebit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32,972,000,000.00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OperatingIncomeLoss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F02.2024-01-28.receivables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9,999,000,000.00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AccountsReceivableNetCurrent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F02.2024-01-28.cost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16,621,000,000.00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CostOfRevenue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F03.2025-01-26.cfo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64,089,000,000.00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NetCashProvidedByUsedInOperatin...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F03.2025-01-26.cash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8,589,000,000.00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CashAndCashEquivalentsAtCarryin...</w:t>
            </w:r>
          </w:p>
        </w:tc>
      </w:tr>
    </w:tbl>
    <w:p>
      <w:pPr>
        <w:widowControl w:val="0"/>
        <w:spacing w:after="180" w:before="0" w:line="200" w:lineRule="exact"/>
      </w:pPr>
      <w:r>
        <w:rPr>
          <w:rFonts w:ascii="Arial" w:hAnsi="Arial"/>
          <w:b w:val="0"/>
          <w:sz w:val="15"/>
        </w:rPr>
        <w:t>Field locators may be shortened for display. Full tags, source URLs, accession/filing dates where matched, raw responses, hashes and component definitions remain in company_snapshot.json and data/. SEC matching does not replace accounting-scope review; secondary feeds are not independently filing-verified.</w:t>
      </w:r>
    </w:p>
    <w:p>
      <w:pPr>
        <w:spacing w:after="0" w:before="0" w:line="20" w:lineRule="exact"/>
        <w:sectPr>
          <w:footerReference w:type="default" r:id="rId33"/>
          <w:pgSz w:w="15840" w:h="12240" w:orient="landscape"/>
          <w:pgMar w:top="88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Financial source locators | 41-76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700"/>
        <w:gridCol w:w="2385"/>
        <w:gridCol w:w="2385"/>
        <w:gridCol w:w="2385"/>
        <w:gridCol w:w="2385"/>
      </w:tblGrid>
      <w:tr>
        <w:trPr>
          <w:cantSplit/>
          <w:tblHeader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Fact ID / fiscal end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Raw value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Source ID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Field locator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11,146,000,000.00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IncomeTaxExpenseBenefit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130,497,000,000.00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Revenues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F03.2025-01-26.parent_income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72,880,000,000.00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NetIncomeLoss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F03.2025-01-26.assets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111,601,000,000.00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F03.2025-01-26.inventory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10,080,000,000.00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InventoryNet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F03.2025-01-26.debt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9,982,000,000.00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annualTotalDebt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24,477,000,000.00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CommonStockSharesOutstanding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F03.2025-01-26.capex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3,236,000,000.00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PaymentsToAcquireProductiveAssets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F03.2025-01-26.da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1,864,000,000.00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DepreciationDepletionAndAmortiz...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F03.2025-01-26.payables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6,310,000,000.00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AccountsPayableCurrent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F03.2025-01-26.equity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79,327,000,000.00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StockholdersEquity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F03.2025-01-26.deferred_revenue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837,000,000.00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annualCurrentDeferredRevenue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F03.2025-01-26.pretax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84,026,000,000.00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IncomeLossFromContinuingOperati...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F03.2025-01-26.investments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34,621,000,000.00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MarketableSecuritiesCurrent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F03.2025-01-26.ebit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81,453,000,000.00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OperatingIncomeLoss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F03.2025-01-26.receivables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23,065,000,000.00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AccountsReceivableNetCurrent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F03.2025-01-26.cost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32,639,000,000.00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CostOfRevenue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F04.2026-01-25.cfo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102,718,000,000.00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NetCashProvidedByUsedInOperatin...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F04.2026-01-25.cash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10,605,000,000.00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CashAndCashEquivalentsAtCarryin...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21,383,000,000.00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IncomeTaxExpenseBenefit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215,938,000,000.00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Revenues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F04.2026-01-25.parent_income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120,067,000,000.00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NetIncomeLoss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F04.2026-01-25.assets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206,803,000,000.00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F04.2026-01-25.inventory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21,403,000,000.00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InventoryNet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F04.2026-01-25.debt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11,040,000,000.00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annualTotalDebt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24,304,000,000.00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CommonStockSharesOutstanding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F04.2026-01-25.capex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6,042,000,000.00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PaymentsToAcquireProductiveAssets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F04.2026-01-25.da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2,843,000,000.00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DepreciationDepletionAndAmortiz...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F04.2026-01-25.payables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9,812,000,000.00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AccountsPayableCurrent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F04.2026-01-25.equity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157,293,000,000.00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StockholdersEquity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F04.2026-01-25.deferred_revenue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1,379,000,000.00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annualCurrentDeferredRevenue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F04.2026-01-25.pretax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141,450,000,000.00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IncomeLossFromContinuingOperati...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F04.2026-01-25.investments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51,951,000,000.00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annualOtherShortTermInvestments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F04.2026-01-25.ebit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130,387,000,000.00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OperatingIncomeLoss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F04.2026-01-25.receivables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38,466,000,000.00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AccountsReceivableNetCurrent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F04.2026-01-25.cost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62,475,000,000.00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USD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CostOfRevenue</w:t>
            </w:r>
          </w:p>
        </w:tc>
      </w:tr>
    </w:tbl>
    <w:p>
      <w:pPr>
        <w:widowControl w:val="0"/>
        <w:spacing w:after="180" w:before="0" w:line="200" w:lineRule="exact"/>
      </w:pPr>
      <w:r>
        <w:rPr>
          <w:rFonts w:ascii="Arial" w:hAnsi="Arial"/>
          <w:b w:val="0"/>
          <w:sz w:val="15"/>
        </w:rPr>
        <w:t>Field locators may be shortened for display. Full tags, source URLs, accession/filing dates where matched, raw responses, hashes and component definitions remain in company_snapshot.json and data/. SEC matching does not replace accounting-scope review; secondary feeds are not independently filing-verified.</w:t>
      </w:r>
    </w:p>
    <w:sectPr w:rsidR="00FC693F" w:rsidRPr="0006063C" w:rsidSect="00034616">
      <w:footerReference w:type="default" r:id="rId35"/>
      <w:pgSz w:w="15840" w:h="12240" w:orient="landscape"/>
      <w:pgMar w:top="880" w:right="800" w:bottom="720" w:left="800" w:header="6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NVDA | US | 2026-10-03</w:t>
    </w:r>
    <w:r>
      <w:t xml:space="preserve">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80" w:lineRule="exac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14" Type="http://schemas.openxmlformats.org/officeDocument/2006/relationships/footer" Target="footer3.xml"/><Relationship Id="rId16" Type="http://schemas.openxmlformats.org/officeDocument/2006/relationships/footer" Target="footer4.xml"/><Relationship Id="rId18" Type="http://schemas.openxmlformats.org/officeDocument/2006/relationships/footer" Target="footer5.xml"/><Relationship Id="rId20" Type="http://schemas.openxmlformats.org/officeDocument/2006/relationships/footer" Target="footer6.xml"/><Relationship Id="rId22" Type="http://schemas.openxmlformats.org/officeDocument/2006/relationships/footer" Target="footer7.xml"/><Relationship Id="rId23" Type="http://schemas.openxmlformats.org/officeDocument/2006/relationships/image" Target="media/image2.png"/><Relationship Id="rId25" Type="http://schemas.openxmlformats.org/officeDocument/2006/relationships/footer" Target="footer8.xml"/><Relationship Id="rId27" Type="http://schemas.openxmlformats.org/officeDocument/2006/relationships/footer" Target="footer9.xml"/><Relationship Id="rId29" Type="http://schemas.openxmlformats.org/officeDocument/2006/relationships/footer" Target="footer10.xml"/><Relationship Id="rId31" Type="http://schemas.openxmlformats.org/officeDocument/2006/relationships/footer" Target="footer11.xml"/><Relationship Id="rId33" Type="http://schemas.openxmlformats.org/officeDocument/2006/relationships/footer" Target="footer12.xml"/><Relationship Id="rId35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Corporation Financial analysis and explicit DCF assumptions</dc:title>
  <dc:subject>Public financial analysis with explicit assumptions using the retained reference layout</dc:subject>
  <dc:creator>Equity Research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