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spacing w:after="720" w:before="0" w:line="280" w:lineRule="exact"/>
      </w:pPr>
      <w:r>
        <w:rPr>
          <w:rFonts w:ascii="Arial" w:hAnsi="Arial"/>
          <w:b w:val="0"/>
          <w:color w:val="082C4A"/>
          <w:sz w:val="20"/>
        </w:rPr>
        <w:t>EQUITY RESEARCH AGENT | PUBLIC-DATA RESEARCH DRAFT</w:t>
      </w:r>
    </w:p>
    <w:tbl>
      <w:tblPr>
        <w:tblW w:type="auto" w:w="0"/>
        <w:tblLayout w:type="fixed"/>
        <w:tblLook w:firstColumn="1" w:firstRow="1" w:lastColumn="0" w:lastRow="0" w:noHBand="0" w:noVBand="1" w:val="04A0"/>
      </w:tblPr>
      <w:tblGrid>
        <w:gridCol w:w="6660"/>
        <w:gridCol w:w="3980"/>
      </w:tblGrid>
      <w:tr>
        <w:tc>
          <w:tcPr>
            <w:tcW w:type="dxa" w:w="6660"/>
            <w:tcMar>
              <w:top w:w="0" w:type="dxa"/>
              <w:bottom w:w="0" w:type="dxa"/>
              <w:left w:w="0" w:type="dxa"/>
              <w:right w:w="160" w:type="dxa"/>
            </w:tcMar>
            <w:tcBorders>
              <w:right w:val="single" w:sz="3" w:color="8F969C"/>
            </w:tcBorders>
          </w:tcPr>
          <w:p>
            <w:pPr>
              <w:spacing w:after="0" w:line="20" w:lineRule="exact"/>
            </w:pPr>
            <w:r>
              <w:rPr>
                <w:sz w:val="2"/>
              </w:rPr>
            </w:r>
          </w:p>
          <w:p>
            <w:pPr>
              <w:widowControl w:val="0"/>
              <w:spacing w:after="120" w:before="0" w:line="340" w:lineRule="exact"/>
            </w:pPr>
            <w:r>
              <w:rPr>
                <w:rFonts w:ascii="Arial" w:hAnsi="Arial"/>
                <w:b/>
                <w:color w:val="6B6ACB"/>
                <w:sz w:val="26"/>
              </w:rPr>
              <w:t>Tencent Holdings Limited | HK | 00700</w:t>
            </w:r>
          </w:p>
          <w:p>
            <w:pPr>
              <w:widowControl w:val="0"/>
              <w:spacing w:after="260" w:before="0" w:line="560" w:lineRule="exact"/>
            </w:pPr>
            <w:r>
              <w:rPr>
                <w:rFonts w:ascii="Segoe UI Light" w:hAnsi="Segoe UI Light"/>
                <w:b w:val="0"/>
                <w:sz w:val="46"/>
              </w:rPr>
              <w:t>Financial performance and cash value</w:t>
            </w:r>
          </w:p>
          <w:p>
            <w:pPr>
              <w:widowControl w:val="0"/>
              <w:spacing w:after="180" w:before="0" w:line="300" w:lineRule="exact"/>
            </w:pPr>
            <w:r>
              <w:rPr>
                <w:rFonts w:ascii="Arial" w:hAnsi="Arial"/>
                <w:b w:val="0"/>
                <w:sz w:val="21"/>
              </w:rPr>
              <w:t>This report connects reported profitability and cash conversion with transparent reinvestment and equity-bridge assumptions. The base case gives HKD 372.11 per share, compared with the dated close of HKD 421.20. These are conditional DCF values, not an investment rating.</w:t>
            </w:r>
          </w:p>
          <w:p>
            <w:pPr>
              <w:widowControl w:val="0"/>
              <w:spacing w:after="100" w:before="0" w:line="275" w:lineRule="exact"/>
            </w:pPr>
            <w:r>
              <w:rPr>
                <w:rFonts w:ascii="Arial" w:hAnsi="Arial"/>
                <w:b/>
                <w:sz w:val="22"/>
              </w:rPr>
              <w:t>Key takeaways</w:t>
            </w:r>
          </w:p>
          <w:p>
            <w:pPr>
              <w:widowControl w:val="0"/>
              <w:spacing w:after="140" w:before="0" w:line="250" w:lineRule="exact"/>
            </w:pPr>
            <w:r>
              <w:rPr>
                <w:rFonts w:ascii="Arial" w:hAnsi="Arial"/>
                <w:b w:val="0"/>
                <w:sz w:val="18"/>
              </w:rPr>
              <w:t>• Latest annual revenue CNY 751,766.0 million; EBIT margin 33.1%; parent net margin 29.9%. Fiscal end 2025-12-31.</w:t>
            </w:r>
          </w:p>
          <w:p>
            <w:pPr>
              <w:widowControl w:val="0"/>
              <w:spacing w:after="140" w:before="0" w:line="250" w:lineRule="exact"/>
            </w:pPr>
            <w:r>
              <w:rPr>
                <w:rFonts w:ascii="Arial" w:hAnsi="Arial"/>
                <w:b w:val="0"/>
                <w:sz w:val="18"/>
              </w:rPr>
              <w:t>• Parent ROE 21.1%; CFO / parent profit 1.35x. Scope-matched average parent equity supports the DuPont identity.</w:t>
            </w:r>
          </w:p>
          <w:p>
            <w:pPr>
              <w:widowControl w:val="0"/>
              <w:spacing w:after="140" w:before="0" w:line="250" w:lineRule="exact"/>
            </w:pPr>
            <w:r>
              <w:rPr>
                <w:rFonts w:ascii="Arial" w:hAnsi="Arial"/>
                <w:b w:val="0"/>
                <w:sz w:val="18"/>
              </w:rPr>
              <w:t>• Dated close HKD 421.20 on 2026-10-02. FX 1.168400 HKD per CNY, dated 2026-10-02.</w:t>
            </w:r>
          </w:p>
          <w:p>
            <w:pPr>
              <w:widowControl w:val="0"/>
              <w:spacing w:after="140" w:before="0" w:line="250" w:lineRule="exact"/>
            </w:pPr>
            <w:r>
              <w:rPr>
                <w:rFonts w:ascii="Arial" w:hAnsi="Arial"/>
                <w:b w:val="0"/>
                <w:sz w:val="18"/>
              </w:rPr>
              <w:t>• Bull HKD 494.73, base HKD 372.11, bear HKD 262.39 per share; base upside / downside -11.7%.</w:t>
            </w:r>
          </w:p>
          <w:p>
            <w:pPr>
              <w:widowControl w:val="0"/>
              <w:spacing w:after="140" w:before="0" w:line="250" w:lineRule="exact"/>
            </w:pPr>
            <w:r>
              <w:rPr>
                <w:rFonts w:ascii="Arial" w:hAnsi="Arial"/>
                <w:b w:val="0"/>
                <w:sz w:val="18"/>
              </w:rPr>
              <w:t>• WACC 10.0%; perpetual growth 2.0%; stable ROIC 12.0%; terminal / EV 74.7%. Operating reserve CNY 75,176.6 million is an explicit assumption.</w:t>
            </w:r>
          </w:p>
          <w:p>
            <w:pPr>
              <w:widowControl w:val="0"/>
              <w:spacing w:after="180" w:before="0" w:line="240" w:lineRule="exact"/>
            </w:pPr>
            <w:r>
              <w:rPr>
                <w:rFonts w:ascii="Arial" w:hAnsi="Arial"/>
                <w:b w:val="0"/>
                <w:sz w:val="18"/>
              </w:rPr>
              <w:t>Financial feeds, operating-profit definitions and forecast assumptions require issuer-filing review. The report does not establish verified fair value. Annual balances and shares are frozen; subsequent distributions, financing and dilution are not automatically bridged.</w:t>
            </w:r>
          </w:p>
        </w:tc>
        <w:tc>
          <w:tcPr>
            <w:tcW w:type="dxa" w:w="3980"/>
            <w:tcMar>
              <w:top w:w="0" w:type="dxa"/>
              <w:bottom w:w="0" w:type="dxa"/>
              <w:left w:w="180" w:type="dxa"/>
              <w:right w:w="0" w:type="dxa"/>
            </w:tcMar>
          </w:tcPr>
          <w:p>
            <w:pPr>
              <w:spacing w:after="0" w:line="20" w:lineRule="exact"/>
            </w:pPr>
            <w:r>
              <w:rPr>
                <w:sz w:val="2"/>
              </w:rPr>
            </w:r>
          </w:p>
          <w:p>
            <w:pPr>
              <w:widowControl w:val="0"/>
              <w:spacing w:after="100" w:before="0" w:line="250" w:lineRule="exact"/>
            </w:pPr>
            <w:r>
              <w:rPr>
                <w:rFonts w:ascii="Arial" w:hAnsi="Arial"/>
                <w:b/>
                <w:sz w:val="20"/>
              </w:rPr>
              <w:t>Public-data research draft</w:t>
            </w:r>
          </w:p>
          <w:p>
            <w:pPr>
              <w:widowControl w:val="0"/>
              <w:spacing w:after="180" w:before="0" w:line="220" w:lineRule="exact"/>
            </w:pPr>
            <w:r>
              <w:rPr>
                <w:rFonts w:ascii="Arial" w:hAnsi="Arial"/>
                <w:b w:val="0"/>
                <w:sz w:val="17"/>
              </w:rPr>
              <w:t>Observed figures and calculated values are distinguished from generic scenario assumptions. No assured target price is assigned.</w:t>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1700"/>
              <w:gridCol w:w="2040"/>
            </w:tblGrid>
            <w:tr>
              <w:trPr>
                <w:cantSplit/>
                <w:tblHeader/>
              </w:trPr>
              <w:tc>
                <w:tcPr>
                  <w:tcW w:type="dxa" w:w="1700"/>
                  <w:tcMar>
                    <w:top w:w="0" w:type="dxa"/>
                    <w:bottom w:w="0" w:type="dxa"/>
                    <w:left w:w="15" w:type="dxa"/>
                    <w:right w:w="15" w:type="dxa"/>
                  </w:tcMar>
                  <w:shd w:fill="082C4A"/>
                </w:tcPr>
                <w:p>
                  <w:pPr>
                    <w:widowControl w:val="0"/>
                    <w:spacing w:after="0" w:before="0" w:line="240" w:lineRule="exact"/>
                    <w:jc w:val="left"/>
                  </w:pPr>
                  <w:r>
                    <w:rPr>
                      <w:rFonts w:ascii="Arial" w:hAnsi="Arial"/>
                      <w:b/>
                      <w:color w:val="FFFFFF"/>
                      <w:sz w:val="16"/>
                    </w:rPr>
                    <w:t>Security / valuation</w:t>
                  </w:r>
                </w:p>
              </w:tc>
              <w:tc>
                <w:tcPr>
                  <w:tcW w:type="dxa" w:w="2040"/>
                  <w:tcMar>
                    <w:top w:w="0" w:type="dxa"/>
                    <w:bottom w:w="0" w:type="dxa"/>
                    <w:left w:w="15" w:type="dxa"/>
                    <w:right w:w="15" w:type="dxa"/>
                  </w:tcMar>
                  <w:noWrap/>
                  <w:shd w:fill="082C4A"/>
                </w:tcPr>
                <w:p>
                  <w:pPr>
                    <w:widowControl w:val="0"/>
                    <w:spacing w:after="0" w:before="0" w:line="240" w:lineRule="exact"/>
                    <w:jc w:val="right"/>
                  </w:pPr>
                  <w:r>
                    <w:rPr>
                      <w:rFonts w:ascii="Arial" w:hAnsi="Arial"/>
                      <w:b/>
                      <w:color w:val="FFFFFF"/>
                      <w:sz w:val="16"/>
                    </w:rPr>
                    <w:t>Value</w:t>
                  </w:r>
                </w:p>
              </w:tc>
            </w:tr>
            <w:tr>
              <w:trPr>
                <w:cantSplit/>
              </w:trPr>
              <w:tc>
                <w:tcPr>
                  <w:tcW w:type="dxa" w:w="1700"/>
                  <w:tcMar>
                    <w:top w:w="0" w:type="dxa"/>
                    <w:bottom w:w="0" w:type="dxa"/>
                    <w:left w:w="15" w:type="dxa"/>
                    <w:right w:w="15" w:type="dxa"/>
                  </w:tcMar>
                </w:tcPr>
                <w:p>
                  <w:pPr>
                    <w:widowControl w:val="0"/>
                    <w:spacing w:after="0" w:before="0" w:line="240" w:lineRule="exact"/>
                    <w:jc w:val="left"/>
                  </w:pPr>
                  <w:r>
                    <w:rPr>
                      <w:rFonts w:ascii="Arial" w:hAnsi="Arial"/>
                      <w:b w:val="0"/>
                      <w:sz w:val="16"/>
                    </w:rPr>
                    <w:t>Ticker</w:t>
                  </w:r>
                </w:p>
              </w:tc>
              <w:tc>
                <w:tcPr>
                  <w:tcW w:type="dxa" w:w="20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00700</w:t>
                  </w:r>
                </w:p>
              </w:tc>
            </w:tr>
            <w:tr>
              <w:trPr>
                <w:cantSplit/>
              </w:trPr>
              <w:tc>
                <w:tcPr>
                  <w:tcW w:type="dxa" w:w="1700"/>
                  <w:tcMar>
                    <w:top w:w="0" w:type="dxa"/>
                    <w:bottom w:w="0" w:type="dxa"/>
                    <w:left w:w="15" w:type="dxa"/>
                    <w:right w:w="15" w:type="dxa"/>
                  </w:tcMar>
                </w:tcPr>
                <w:p>
                  <w:pPr>
                    <w:widowControl w:val="0"/>
                    <w:spacing w:after="0" w:before="0" w:line="240" w:lineRule="exact"/>
                    <w:jc w:val="left"/>
                  </w:pPr>
                  <w:r>
                    <w:rPr>
                      <w:rFonts w:ascii="Arial" w:hAnsi="Arial"/>
                      <w:b w:val="0"/>
                      <w:sz w:val="16"/>
                    </w:rPr>
                    <w:t>Analysis date</w:t>
                  </w:r>
                </w:p>
              </w:tc>
              <w:tc>
                <w:tcPr>
                  <w:tcW w:type="dxa" w:w="20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2026-10-03</w:t>
                  </w:r>
                </w:p>
              </w:tc>
            </w:tr>
            <w:tr>
              <w:trPr>
                <w:cantSplit/>
              </w:trPr>
              <w:tc>
                <w:tcPr>
                  <w:tcW w:type="dxa" w:w="1700"/>
                  <w:tcMar>
                    <w:top w:w="0" w:type="dxa"/>
                    <w:bottom w:w="0" w:type="dxa"/>
                    <w:left w:w="15" w:type="dxa"/>
                    <w:right w:w="15" w:type="dxa"/>
                  </w:tcMar>
                </w:tcPr>
                <w:p>
                  <w:pPr>
                    <w:widowControl w:val="0"/>
                    <w:spacing w:after="0" w:before="0" w:line="240" w:lineRule="exact"/>
                    <w:jc w:val="left"/>
                  </w:pPr>
                  <w:r>
                    <w:rPr>
                      <w:rFonts w:ascii="Arial" w:hAnsi="Arial"/>
                      <w:b w:val="0"/>
                      <w:sz w:val="16"/>
                    </w:rPr>
                    <w:t>Dated close</w:t>
                  </w:r>
                </w:p>
              </w:tc>
              <w:tc>
                <w:tcPr>
                  <w:tcW w:type="dxa" w:w="20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HKD 421.20</w:t>
                  </w:r>
                </w:p>
              </w:tc>
            </w:tr>
            <w:tr>
              <w:trPr>
                <w:cantSplit/>
              </w:trPr>
              <w:tc>
                <w:tcPr>
                  <w:tcW w:type="dxa" w:w="1700"/>
                  <w:tcMar>
                    <w:top w:w="0" w:type="dxa"/>
                    <w:bottom w:w="0" w:type="dxa"/>
                    <w:left w:w="15" w:type="dxa"/>
                    <w:right w:w="15" w:type="dxa"/>
                  </w:tcMar>
                </w:tcPr>
                <w:p>
                  <w:pPr>
                    <w:widowControl w:val="0"/>
                    <w:spacing w:after="0" w:before="0" w:line="240" w:lineRule="exact"/>
                    <w:jc w:val="left"/>
                  </w:pPr>
                  <w:r>
                    <w:rPr>
                      <w:rFonts w:ascii="Arial" w:hAnsi="Arial"/>
                      <w:b w:val="0"/>
                      <w:sz w:val="16"/>
                    </w:rPr>
                    <w:t>Base DCF</w:t>
                  </w:r>
                </w:p>
              </w:tc>
              <w:tc>
                <w:tcPr>
                  <w:tcW w:type="dxa" w:w="20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HKD 372.11</w:t>
                  </w:r>
                </w:p>
              </w:tc>
            </w:tr>
            <w:tr>
              <w:trPr>
                <w:cantSplit/>
              </w:trPr>
              <w:tc>
                <w:tcPr>
                  <w:tcW w:type="dxa" w:w="1700"/>
                  <w:tcMar>
                    <w:top w:w="0" w:type="dxa"/>
                    <w:bottom w:w="0" w:type="dxa"/>
                    <w:left w:w="15" w:type="dxa"/>
                    <w:right w:w="15" w:type="dxa"/>
                  </w:tcMar>
                </w:tcPr>
                <w:p>
                  <w:pPr>
                    <w:widowControl w:val="0"/>
                    <w:spacing w:after="0" w:before="0" w:line="240" w:lineRule="exact"/>
                    <w:jc w:val="left"/>
                  </w:pPr>
                  <w:r>
                    <w:rPr>
                      <w:rFonts w:ascii="Arial" w:hAnsi="Arial"/>
                      <w:b w:val="0"/>
                      <w:sz w:val="16"/>
                    </w:rPr>
                    <w:t>DCF / close</w:t>
                  </w:r>
                </w:p>
              </w:tc>
              <w:tc>
                <w:tcPr>
                  <w:tcW w:type="dxa" w:w="20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-11.7%</w:t>
                  </w:r>
                </w:p>
              </w:tc>
            </w:tr>
            <w:tr>
              <w:trPr>
                <w:cantSplit/>
              </w:trPr>
              <w:tc>
                <w:tcPr>
                  <w:tcW w:type="dxa" w:w="1700"/>
                  <w:tcMar>
                    <w:top w:w="0" w:type="dxa"/>
                    <w:bottom w:w="0" w:type="dxa"/>
                    <w:left w:w="15" w:type="dxa"/>
                    <w:right w:w="15" w:type="dxa"/>
                  </w:tcMar>
                </w:tcPr>
                <w:p>
                  <w:pPr>
                    <w:widowControl w:val="0"/>
                    <w:spacing w:after="0" w:before="0" w:line="240" w:lineRule="exact"/>
                    <w:jc w:val="left"/>
                  </w:pPr>
                  <w:r>
                    <w:rPr>
                      <w:rFonts w:ascii="Arial" w:hAnsi="Arial"/>
                      <w:b w:val="0"/>
                      <w:sz w:val="16"/>
                    </w:rPr>
                    <w:t>Bear / bull</w:t>
                  </w:r>
                </w:p>
              </w:tc>
              <w:tc>
                <w:tcPr>
                  <w:tcW w:type="dxa" w:w="20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262.39 / 494.73</w:t>
                  </w:r>
                </w:p>
              </w:tc>
            </w:tr>
            <w:tr>
              <w:trPr>
                <w:cantSplit/>
              </w:trPr>
              <w:tc>
                <w:tcPr>
                  <w:tcW w:type="dxa" w:w="1700"/>
                  <w:tcMar>
                    <w:top w:w="0" w:type="dxa"/>
                    <w:bottom w:w="0" w:type="dxa"/>
                    <w:left w:w="15" w:type="dxa"/>
                    <w:right w:w="15" w:type="dxa"/>
                  </w:tcMar>
                </w:tcPr>
                <w:p>
                  <w:pPr>
                    <w:widowControl w:val="0"/>
                    <w:spacing w:after="0" w:before="0" w:line="240" w:lineRule="exact"/>
                    <w:jc w:val="left"/>
                  </w:pPr>
                  <w:r>
                    <w:rPr>
                      <w:rFonts w:ascii="Arial" w:hAnsi="Arial"/>
                      <w:b w:val="0"/>
                      <w:sz w:val="16"/>
                    </w:rPr>
                    <w:t>WACC / g</w:t>
                  </w:r>
                </w:p>
              </w:tc>
              <w:tc>
                <w:tcPr>
                  <w:tcW w:type="dxa" w:w="20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10.0% / 2.0%</w:t>
                  </w:r>
                </w:p>
              </w:tc>
            </w:tr>
            <w:tr>
              <w:trPr>
                <w:cantSplit/>
              </w:trPr>
              <w:tc>
                <w:tcPr>
                  <w:tcW w:type="dxa" w:w="1700"/>
                  <w:tcMar>
                    <w:top w:w="0" w:type="dxa"/>
                    <w:bottom w:w="0" w:type="dxa"/>
                    <w:left w:w="15" w:type="dxa"/>
                    <w:right w:w="15" w:type="dxa"/>
                  </w:tcMar>
                </w:tcPr>
                <w:p>
                  <w:pPr>
                    <w:widowControl w:val="0"/>
                    <w:spacing w:after="0" w:before="0" w:line="240" w:lineRule="exact"/>
                    <w:jc w:val="left"/>
                  </w:pPr>
                  <w:r>
                    <w:rPr>
                      <w:rFonts w:ascii="Arial" w:hAnsi="Arial"/>
                      <w:b w:val="0"/>
                      <w:sz w:val="16"/>
                    </w:rPr>
                    <w:t>Terminal / EV</w:t>
                  </w:r>
                </w:p>
              </w:tc>
              <w:tc>
                <w:tcPr>
                  <w:tcW w:type="dxa" w:w="20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74.7%</w:t>
                  </w:r>
                </w:p>
              </w:tc>
            </w:tr>
          </w:tbl>
          <w:p/>
          <w:p>
            <w:pPr>
              <w:widowControl w:val="0"/>
              <w:spacing w:after="100" w:before="0" w:line="225" w:lineRule="exact"/>
            </w:pPr>
            <w:r>
              <w:rPr>
                <w:rFonts w:ascii="Arial" w:hAnsi="Arial"/>
                <w:b/>
                <w:sz w:val="18"/>
              </w:rPr>
              <w:t>Snapshot dates</w:t>
            </w:r>
          </w:p>
          <w:p>
            <w:pPr>
              <w:widowControl w:val="0"/>
              <w:spacing w:after="180" w:before="0" w:line="220" w:lineRule="exact"/>
            </w:pPr>
            <w:r>
              <w:rPr>
                <w:rFonts w:ascii="Arial" w:hAnsi="Arial"/>
                <w:b w:val="0"/>
                <w:sz w:val="16"/>
              </w:rPr>
              <w:t>Annual anchor 2025-12-31; stock close 2026-10-02. Reporting currency CNY; trading currency HKD. Current balances are not implied.</w:t>
            </w:r>
          </w:p>
          <w:p>
            <w:pPr>
              <w:widowControl w:val="0"/>
              <w:spacing w:after="100" w:before="0" w:line="225" w:lineRule="exact"/>
            </w:pPr>
            <w:r>
              <w:rPr>
                <w:rFonts w:ascii="Arial" w:hAnsi="Arial"/>
                <w:b/>
                <w:sz w:val="18"/>
              </w:rPr>
              <w:t>Bridge proxies</w:t>
            </w:r>
          </w:p>
          <w:p>
            <w:pPr>
              <w:widowControl w:val="0"/>
              <w:spacing w:after="180" w:before="0" w:line="220" w:lineRule="exact"/>
            </w:pPr>
            <w:r>
              <w:rPr>
                <w:rFonts w:ascii="Arial" w:hAnsi="Arial"/>
                <w:b w:val="0"/>
                <w:sz w:val="16"/>
              </w:rPr>
              <w:t>Cash and recognized short investments less operating reserve, debt, senior claims and book NCI. Unrecognized long-term stakes require separate review.</w:t>
            </w:r>
          </w:p>
          <w:p>
            <w:pPr>
              <w:widowControl w:val="0"/>
              <w:spacing w:after="140" w:before="0" w:line="164" w:lineRule="exact"/>
            </w:pPr>
            <w:r>
              <w:rPr>
                <w:rFonts w:ascii="Arial" w:hAnsi="Arial"/>
                <w:b w:val="0"/>
                <w:color w:val="666666"/>
                <w:sz w:val="14"/>
              </w:rPr>
              <w:t xml:space="preserve">Sources: frozen public financial feeds and matched SEC tags where available. Secondary fields require filing review. Amounts are reporting-currency millions unless stated. </w:t>
            </w:r>
          </w:p>
        </w:tc>
      </w:tr>
    </w:tbl>
    <w:p>
      <w:pPr>
        <w:spacing w:after="0" w:before="0" w:line="20" w:lineRule="exact"/>
        <w:sectPr>
          <w:headerReference w:type="default" r:id="rId9"/>
          <w:footerReference w:type="default" r:id="rId10"/>
          <w:pgSz w:w="12240" w:h="15840"/>
          <w:pgMar w:top="60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Why Profitability and Cash Conversion Changed</w:t>
      </w:r>
    </w:p>
    <w:p>
      <w:pPr>
        <w:widowControl w:val="0"/>
        <w:spacing w:after="180" w:before="0" w:line="360" w:lineRule="exact"/>
      </w:pPr>
      <w:r>
        <w:rPr>
          <w:rFonts w:ascii="Arial" w:hAnsi="Arial"/>
          <w:b w:val="0"/>
          <w:sz w:val="22"/>
        </w:rPr>
        <w:t>Revenue expanded from CNY 554,552.0 million in 2022 to CNY 751,766.0 million in 2025 [F01][F04], while EBIT margin rose from 20.5% to 33.1% [F01][F04]. Parent net margin did not follow a straight path: 33.9% in 2022, 18.9% in 2023, 29.4% in 2024 and 29.9% in 2025 [F01][F02][F03][F04]. The gap between EBIT margin and parent net margin implies non-operating items, associates, taxes or non-controlling interests moved parent profit differently from operating profit, but no segment, product or management evidence is supplied to identify the driver [L01]. Parent ROE was not available for 2022, then 15.1%, 21.8% and 21.1% [F01][F04].</w:t>
      </w:r>
    </w:p>
    <w:p>
      <w:pPr>
        <w:widowControl w:val="0"/>
        <w:spacing w:after="180" w:before="0" w:line="360" w:lineRule="exact"/>
      </w:pPr>
      <w:r>
        <w:rPr>
          <w:rFonts w:ascii="Arial" w:hAnsi="Arial"/>
          <w:b w:val="0"/>
          <w:sz w:val="22"/>
        </w:rPr>
        <w:t>Cash conversion: CFO/parent profit was 0.78x in 2022, 1.93x in 2023, 1.33x in 2024 and 1.35x in 2025 [F01][F02][F03][F04]. The 2023 spike may reflect working-capital release, non-cash items or timing, but cash-flow detail is absent [L01]. The A01 NWC ratio of -9.4% is an assumption, not evidence of a cash release; release depends on the change in the NWC balance as revenue changes, and the trade proxy omits prepayments, contract assets and customer advances [A01][L01]. Annual bridge observations are in A01, but current balances and post-anchor changes are unverified [L01]. Without segment, orders or product evidence, we cannot confidently attribute changes to AI, pricing, mix, demand or cost controls [L01]. Evidence to distinguish: segment margins, product-level gross margin, operating expense breakdown, working-capital detail, cash-flow reconciliation and management guidance.</w:t>
      </w:r>
    </w:p>
    <w:p>
      <w:pPr>
        <w:widowControl w:val="0"/>
        <w:spacing w:after="100" w:before="0" w:line="250" w:lineRule="exact"/>
      </w:pPr>
      <w:r>
        <w:rPr>
          <w:rFonts w:ascii="Arial" w:hAnsi="Arial"/>
          <w:b/>
          <w:sz w:val="20"/>
        </w:rPr>
        <w:t>Evidence and calculation references</w:t>
      </w:r>
    </w:p>
    <w:p>
      <w:pPr>
        <w:widowControl w:val="0"/>
        <w:spacing w:after="180" w:before="0" w:line="240" w:lineRule="exact"/>
      </w:pPr>
      <w:r>
        <w:rPr>
          <w:rFonts w:ascii="Arial" w:hAnsi="Arial"/>
          <w:b w:val="0"/>
          <w:sz w:val="16"/>
        </w:rPr>
        <w:t>[F01] to [F04] identify chronological annual periods in the appendix.</w:t>
      </w:r>
    </w:p>
    <w:p>
      <w:pPr>
        <w:widowControl w:val="0"/>
        <w:spacing w:after="180" w:before="0" w:line="240" w:lineRule="exact"/>
      </w:pPr>
      <w:r>
        <w:rPr>
          <w:rFonts w:ascii="Arial" w:hAnsi="Arial"/>
          <w:b w:val="0"/>
          <w:sz w:val="16"/>
        </w:rPr>
        <w:t>[C01] Calculated DCF values and price comparison. [A01] Explicit assumptions and equity bridge.</w:t>
      </w:r>
    </w:p>
    <w:p>
      <w:pPr>
        <w:widowControl w:val="0"/>
        <w:spacing w:after="180" w:before="0" w:line="240" w:lineRule="exact"/>
      </w:pPr>
      <w:r>
        <w:rPr>
          <w:rFonts w:ascii="Arial" w:hAnsi="Arial"/>
          <w:b w:val="0"/>
          <w:sz w:val="16"/>
        </w:rPr>
        <w:t>[X01] Dated currency conversion. [L01] Source, accounting and model limitations. Full field references are retained in the evidence package.</w:t>
      </w:r>
    </w:p>
    <w:p>
      <w:pPr>
        <w:spacing w:after="0" w:before="0" w:line="20" w:lineRule="exact"/>
        <w:sectPr>
          <w:footerReference w:type="default" r:id="rId12"/>
          <w:pgSz w:w="12240" w:h="15840"/>
          <w:pgMar w:top="60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How Cash Allocation, Reinvestment and Valuation Assumptions Affect Value</w:t>
      </w:r>
    </w:p>
    <w:p>
      <w:pPr>
        <w:widowControl w:val="0"/>
        <w:spacing w:after="180" w:before="0" w:line="360" w:lineRule="exact"/>
      </w:pPr>
      <w:r>
        <w:rPr>
          <w:rFonts w:ascii="Arial" w:hAnsi="Arial"/>
          <w:b w:val="0"/>
          <w:sz w:val="22"/>
        </w:rPr>
        <w:t>The annual bridge shows cash of CNY 141,041.0 million, investments of CNY 285,712.0 million, an operating cash reserve of CNY 75,176.6 million, debt of CNY 406,399.0 million and NCI of CNY 86,913.0 million, with shares at 9,032.821 million [A01]. These frozen annual balances are not current amounts; dividends, buybacks, financing, dilution and interim results since the balance date are not bridged [L01]. Cash allocation and reinvestment therefore matter through the base assumptions: revenue growth of 13.9%, EBIT margin of 33.1% and WACC of 10.0% [A01]. Bull and bear scenarios adjust growth, margin, capex and NWC by the stated points, terminal margins following each case [A01]. Scenario values are assumptions, not probabilities or forecasts of share-price paths.</w:t>
      </w:r>
    </w:p>
    <w:p>
      <w:pPr>
        <w:widowControl w:val="0"/>
        <w:spacing w:after="180" w:before="0" w:line="360" w:lineRule="exact"/>
      </w:pPr>
      <w:r>
        <w:rPr>
          <w:rFonts w:ascii="Arial" w:hAnsi="Arial"/>
          <w:b w:val="0"/>
          <w:sz w:val="22"/>
        </w:rPr>
        <w:t>In C01, the base DCF value is HKD 372.11/share against a close of HKD 421.20/share, base upside -11.7%; bull and bear values are HKD 494.73/share and HKD 262.39/share [C01]. Terminal EV is 74.7% of value and the net bridge is HKD -18.33/share, so terminal assumptions and bridge items-debt, NCI and operating reserve-are material [C01]. Reporting is CNY while quotes are HKD, with a conversion rate of 1.168400 on 2026-10-02 [X01]. NCI is deducted at book value, not fair value; unrecognized non-operating stakes and senior claims may change value [L01]. The DCF discount is not proof that the market price is too high given frozen balances, omitted investments, unverified post-anchor distributions, dilution and cutoff limits [L01].</w:t>
      </w:r>
    </w:p>
    <w:p>
      <w:pPr>
        <w:widowControl w:val="0"/>
        <w:spacing w:after="100" w:before="0" w:line="250" w:lineRule="exact"/>
      </w:pPr>
      <w:r>
        <w:rPr>
          <w:rFonts w:ascii="Arial" w:hAnsi="Arial"/>
          <w:b/>
          <w:sz w:val="20"/>
        </w:rPr>
        <w:t>Evidence and calculation references</w:t>
      </w:r>
    </w:p>
    <w:p>
      <w:pPr>
        <w:widowControl w:val="0"/>
        <w:spacing w:after="180" w:before="0" w:line="240" w:lineRule="exact"/>
      </w:pPr>
      <w:r>
        <w:rPr>
          <w:rFonts w:ascii="Arial" w:hAnsi="Arial"/>
          <w:b w:val="0"/>
          <w:sz w:val="16"/>
        </w:rPr>
        <w:t>[F01] to [F04] identify chronological annual periods in the appendix.</w:t>
      </w:r>
    </w:p>
    <w:p>
      <w:pPr>
        <w:widowControl w:val="0"/>
        <w:spacing w:after="180" w:before="0" w:line="240" w:lineRule="exact"/>
      </w:pPr>
      <w:r>
        <w:rPr>
          <w:rFonts w:ascii="Arial" w:hAnsi="Arial"/>
          <w:b w:val="0"/>
          <w:sz w:val="16"/>
        </w:rPr>
        <w:t>[C01] Calculated DCF values and price comparison. [A01] Explicit assumptions and equity bridge.</w:t>
      </w:r>
    </w:p>
    <w:p>
      <w:pPr>
        <w:widowControl w:val="0"/>
        <w:spacing w:after="180" w:before="0" w:line="240" w:lineRule="exact"/>
      </w:pPr>
      <w:r>
        <w:rPr>
          <w:rFonts w:ascii="Arial" w:hAnsi="Arial"/>
          <w:b w:val="0"/>
          <w:sz w:val="16"/>
        </w:rPr>
        <w:t>[X01] Dated currency conversion. [L01] Source, accounting and model limitations. Full field references are retained in the evidence package.</w:t>
      </w:r>
    </w:p>
    <w:p>
      <w:pPr>
        <w:spacing w:after="0" w:before="0" w:line="20" w:lineRule="exact"/>
        <w:sectPr>
          <w:footerReference w:type="default" r:id="rId14"/>
          <w:pgSz w:w="12240" w:h="15840"/>
          <w:pgMar w:top="60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Issuer scope and reporting comparability</w:t>
      </w:r>
    </w:p>
    <w:tbl>
      <w:tblPr>
        <w:tblW w:type="auto" w:w="0"/>
        <w:tblLayout w:type="fixed"/>
        <w:tblLook w:firstColumn="1" w:firstRow="1" w:lastColumn="0" w:lastRow="0" w:noHBand="0" w:noVBand="1" w:val="04A0"/>
      </w:tblPr>
      <w:tblGrid>
        <w:gridCol w:w="6660"/>
        <w:gridCol w:w="3980"/>
      </w:tblGrid>
      <w:tr>
        <w:tc>
          <w:tcPr>
            <w:tcW w:type="dxa" w:w="6660"/>
            <w:tcMar>
              <w:top w:w="0" w:type="dxa"/>
              <w:bottom w:w="0" w:type="dxa"/>
              <w:left w:w="0" w:type="dxa"/>
              <w:right w:w="160" w:type="dxa"/>
            </w:tcMar>
            <w:tcBorders>
              <w:right w:val="single" w:sz="3" w:color="8F969C"/>
            </w:tcBorders>
          </w:tcPr>
          <w:p>
            <w:pPr>
              <w:spacing w:after="0" w:line="20" w:lineRule="exact"/>
            </w:pPr>
            <w:r>
              <w:rPr>
                <w:sz w:val="2"/>
              </w:rPr>
            </w:r>
          </w:p>
          <w:p>
            <w:pPr>
              <w:widowControl w:val="0"/>
              <w:spacing w:after="180" w:before="0" w:line="260" w:lineRule="exact"/>
            </w:pPr>
            <w:r>
              <w:rPr>
                <w:rFonts w:ascii="Arial" w:hAnsi="Arial"/>
                <w:b w:val="0"/>
                <w:sz w:val="19"/>
              </w:rPr>
              <w:t>The selected security is Tencent Holdings Limited, HK 00700. The report uses 4 annual observations; it does not substitute a parent group or another listing.</w:t>
            </w:r>
          </w:p>
          <w:p>
            <w:pPr>
              <w:widowControl w:val="0"/>
              <w:spacing w:after="180" w:before="0" w:line="260" w:lineRule="exact"/>
            </w:pPr>
            <w:r>
              <w:rPr>
                <w:rFonts w:ascii="Arial" w:hAnsi="Arial"/>
                <w:b w:val="0"/>
                <w:sz w:val="19"/>
              </w:rPr>
              <w:t>SEC-matched periods use actual filing fiscal ends. Other observations retain the vendor period and source status. Publication cutoffs, restatements, mergers and accounting definitions require issuer reconciliation; no uninterrupted economic perimeter is inferred from availability alone.</w:t>
            </w:r>
          </w:p>
          <w:p>
            <w:pPr>
              <w:widowControl w:val="0"/>
              <w:spacing w:after="180" w:before="0" w:line="260" w:lineRule="exact"/>
            </w:pPr>
            <w:r>
              <w:rPr>
                <w:rFonts w:ascii="Arial" w:hAnsi="Arial"/>
                <w:b w:val="0"/>
                <w:sz w:val="19"/>
              </w:rPr>
              <w:t>Parent-attributable profit and average parent equity are matched for ROE. Consolidated operating cash flow / parent profit is a diagnostic comparison, not a scope-matched accounting identity.</w:t>
            </w:r>
          </w:p>
        </w:tc>
        <w:tc>
          <w:tcPr>
            <w:tcW w:type="dxa" w:w="3980"/>
            <w:tcMar>
              <w:top w:w="0" w:type="dxa"/>
              <w:bottom w:w="0" w:type="dxa"/>
              <w:left w:w="180" w:type="dxa"/>
              <w:right w:w="0" w:type="dxa"/>
            </w:tcMar>
          </w:tcPr>
          <w:p>
            <w:pPr>
              <w:spacing w:after="0" w:line="20" w:lineRule="exact"/>
            </w:pPr>
            <w:r>
              <w:rPr>
                <w:sz w:val="2"/>
              </w:rPr>
            </w:r>
          </w:p>
          <w:p>
            <w:pPr>
              <w:widowControl w:val="0"/>
              <w:spacing w:after="100" w:before="0" w:line="250" w:lineRule="exact"/>
            </w:pPr>
            <w:r>
              <w:rPr>
                <w:rFonts w:ascii="Arial" w:hAnsi="Arial"/>
                <w:b/>
                <w:sz w:val="20"/>
              </w:rPr>
              <w:t>Issuer identifiers</w:t>
            </w:r>
          </w:p>
          <w:p>
            <w:pPr>
              <w:widowControl w:val="0"/>
              <w:spacing w:after="180" w:before="0" w:line="260" w:lineRule="exact"/>
            </w:pPr>
            <w:r>
              <w:rPr>
                <w:rFonts w:ascii="Arial" w:hAnsi="Arial"/>
                <w:b w:val="0"/>
                <w:sz w:val="18"/>
              </w:rPr>
              <w:t>Tencent Holdings Limited</w:t>
              <w:br/>
              <w:t>HK 00700</w:t>
              <w:br/>
              <w:t>Reporting: CNY</w:t>
              <w:br/>
              <w:t>Quote: HKD</w:t>
            </w:r>
          </w:p>
          <w:p>
            <w:pPr>
              <w:widowControl w:val="0"/>
              <w:spacing w:after="100" w:before="0" w:line="225" w:lineRule="exact"/>
            </w:pPr>
            <w:r>
              <w:rPr>
                <w:rFonts w:ascii="Arial" w:hAnsi="Arial"/>
                <w:b/>
                <w:sz w:val="18"/>
              </w:rPr>
              <w:t>Version discipline</w:t>
            </w:r>
          </w:p>
          <w:p>
            <w:pPr>
              <w:widowControl w:val="0"/>
              <w:spacing w:after="180" w:before="0" w:line="240" w:lineRule="exact"/>
            </w:pPr>
            <w:r>
              <w:rPr>
                <w:rFonts w:ascii="Arial" w:hAnsi="Arial"/>
                <w:b w:val="0"/>
                <w:sz w:val="17"/>
              </w:rPr>
              <w:t>Snapshots retain original values, field references, URL provenance and response hashes. Missing data stays unavailable. Source status is not upgraded merely because arithmetic passes.</w:t>
            </w:r>
          </w:p>
        </w:tc>
      </w:tr>
    </w:tbl>
    <w:p>
      <w:pPr>
        <w:widowControl w:val="0"/>
        <w:spacing w:after="140" w:before="0" w:line="164" w:lineRule="exact"/>
      </w:pPr>
      <w:r>
        <w:rPr>
          <w:rFonts w:ascii="Arial" w:hAnsi="Arial"/>
          <w:b w:val="0"/>
          <w:color w:val="666666"/>
          <w:sz w:val="14"/>
        </w:rPr>
        <w:t xml:space="preserve">Sources: frozen public financial feeds and matched SEC tags where available. Secondary fields require filing review. Amounts are reporting-currency millions unless stated. </w:t>
      </w:r>
    </w:p>
    <w:p>
      <w:pPr>
        <w:spacing w:after="0" w:before="0" w:line="20" w:lineRule="exact"/>
        <w:sectPr>
          <w:footerReference w:type="default" r:id="rId16"/>
          <w:pgSz w:w="12240" w:h="15840"/>
          <w:pgMar w:top="60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Profitability cash conversion and DuPont</w:t>
      </w:r>
    </w:p>
    <w:p>
      <w:pPr>
        <w:widowControl w:val="0"/>
        <w:spacing w:after="180" w:before="0" w:line="260" w:lineRule="exact"/>
      </w:pPr>
      <w:r>
        <w:rPr>
          <w:rFonts w:ascii="Arial" w:hAnsi="Arial"/>
          <w:b w:val="0"/>
          <w:sz w:val="19"/>
        </w:rPr>
        <w:t>Profit margin, cash conversion and balance-sheet returns answer different questions. Parent ROE uses parent-attributable profit and average parent equity; the three-factor identity uses matching balances throughout. Missing opening balances remain unavailable.</w:t>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4100"/>
        <w:gridCol w:w="1635"/>
        <w:gridCol w:w="1635"/>
        <w:gridCol w:w="1635"/>
        <w:gridCol w:w="1635"/>
      </w:tblGrid>
      <w:tr>
        <w:trPr>
          <w:cantSplit/>
          <w:tblHeader/>
        </w:trPr>
        <w:tc>
          <w:tcPr>
            <w:tcW w:type="dxa" w:w="4100"/>
            <w:tcMar>
              <w:top w:w="0" w:type="dxa"/>
              <w:bottom w:w="0" w:type="dxa"/>
              <w:left w:w="15" w:type="dxa"/>
              <w:right w:w="15" w:type="dxa"/>
            </w:tcMar>
            <w:shd w:fill="082C4A"/>
          </w:tcPr>
          <w:p>
            <w:pPr>
              <w:widowControl w:val="0"/>
              <w:spacing w:after="0" w:before="0" w:line="300" w:lineRule="exact"/>
              <w:jc w:val="left"/>
            </w:pPr>
            <w:r>
              <w:rPr>
                <w:rFonts w:ascii="Arial" w:hAnsi="Arial"/>
                <w:b/>
                <w:color w:val="FFFFFF"/>
                <w:sz w:val="16"/>
              </w:rPr>
              <w:t>Metric</w:t>
            </w:r>
          </w:p>
        </w:tc>
        <w:tc>
          <w:tcPr>
            <w:tcW w:type="dxa" w:w="1635"/>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2022-12-31</w:t>
            </w:r>
          </w:p>
        </w:tc>
        <w:tc>
          <w:tcPr>
            <w:tcW w:type="dxa" w:w="1635"/>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2023-12-31</w:t>
            </w:r>
          </w:p>
        </w:tc>
        <w:tc>
          <w:tcPr>
            <w:tcW w:type="dxa" w:w="1635"/>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2024-12-31</w:t>
            </w:r>
          </w:p>
        </w:tc>
        <w:tc>
          <w:tcPr>
            <w:tcW w:type="dxa" w:w="1635"/>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2025-12-31</w:t>
            </w:r>
          </w:p>
        </w:tc>
      </w:tr>
      <w:tr>
        <w:trPr>
          <w:cantSplit/>
        </w:trPr>
        <w:tc>
          <w:tcPr>
            <w:tcW w:type="dxa" w:w="4100"/>
            <w:tcMar>
              <w:top w:w="0" w:type="dxa"/>
              <w:bottom w:w="0" w:type="dxa"/>
              <w:left w:w="15" w:type="dxa"/>
              <w:right w:w="15" w:type="dxa"/>
            </w:tcMar>
          </w:tcPr>
          <w:p>
            <w:pPr>
              <w:widowControl w:val="0"/>
              <w:spacing w:after="0" w:before="0" w:line="300" w:lineRule="exact"/>
              <w:jc w:val="left"/>
            </w:pPr>
            <w:r>
              <w:rPr>
                <w:rFonts w:ascii="Arial" w:hAnsi="Arial"/>
                <w:b w:val="0"/>
                <w:sz w:val="16"/>
              </w:rPr>
              <w:t>Revenue growth</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sz w:val="16"/>
              </w:rPr>
              <w:t>Not available</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9.8%</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8.4%</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13.9%</w:t>
            </w:r>
          </w:p>
        </w:tc>
      </w:tr>
      <w:tr>
        <w:trPr>
          <w:cantSplit/>
        </w:trPr>
        <w:tc>
          <w:tcPr>
            <w:tcW w:type="dxa" w:w="4100"/>
            <w:tcMar>
              <w:top w:w="0" w:type="dxa"/>
              <w:bottom w:w="0" w:type="dxa"/>
              <w:left w:w="15" w:type="dxa"/>
              <w:right w:w="15" w:type="dxa"/>
            </w:tcMar>
          </w:tcPr>
          <w:p>
            <w:pPr>
              <w:widowControl w:val="0"/>
              <w:spacing w:after="0" w:before="0" w:line="300" w:lineRule="exact"/>
              <w:jc w:val="left"/>
            </w:pPr>
            <w:r>
              <w:rPr>
                <w:rFonts w:ascii="Arial" w:hAnsi="Arial"/>
                <w:b w:val="0"/>
                <w:sz w:val="16"/>
              </w:rPr>
              <w:t>EBIT margin</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20.5%</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27.2%</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31.6%</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33.1%</w:t>
            </w:r>
          </w:p>
        </w:tc>
      </w:tr>
      <w:tr>
        <w:trPr>
          <w:cantSplit/>
        </w:trPr>
        <w:tc>
          <w:tcPr>
            <w:tcW w:type="dxa" w:w="4100"/>
            <w:tcMar>
              <w:top w:w="0" w:type="dxa"/>
              <w:bottom w:w="0" w:type="dxa"/>
              <w:left w:w="15" w:type="dxa"/>
              <w:right w:w="15" w:type="dxa"/>
            </w:tcMar>
          </w:tcPr>
          <w:p>
            <w:pPr>
              <w:widowControl w:val="0"/>
              <w:spacing w:after="0" w:before="0" w:line="300" w:lineRule="exact"/>
              <w:jc w:val="left"/>
            </w:pPr>
            <w:r>
              <w:rPr>
                <w:rFonts w:ascii="Arial" w:hAnsi="Arial"/>
                <w:b w:val="0"/>
                <w:sz w:val="16"/>
              </w:rPr>
              <w:t>Parent net margin</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33.9%</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18.9%</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29.4%</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29.9%</w:t>
            </w:r>
          </w:p>
        </w:tc>
      </w:tr>
      <w:tr>
        <w:trPr>
          <w:cantSplit/>
        </w:trPr>
        <w:tc>
          <w:tcPr>
            <w:tcW w:type="dxa" w:w="4100"/>
            <w:tcMar>
              <w:top w:w="0" w:type="dxa"/>
              <w:bottom w:w="0" w:type="dxa"/>
              <w:left w:w="15" w:type="dxa"/>
              <w:right w:w="15" w:type="dxa"/>
            </w:tcMar>
          </w:tcPr>
          <w:p>
            <w:pPr>
              <w:widowControl w:val="0"/>
              <w:spacing w:after="0" w:before="0" w:line="300" w:lineRule="exact"/>
              <w:jc w:val="left"/>
            </w:pPr>
            <w:r>
              <w:rPr>
                <w:rFonts w:ascii="Arial" w:hAnsi="Arial"/>
                <w:b w:val="0"/>
                <w:sz w:val="16"/>
              </w:rPr>
              <w:t>CFO / parent profit</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0.78x</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1.93x</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1.33x</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1.35x</w:t>
            </w:r>
          </w:p>
        </w:tc>
      </w:tr>
      <w:tr>
        <w:trPr>
          <w:cantSplit/>
        </w:trPr>
        <w:tc>
          <w:tcPr>
            <w:tcW w:type="dxa" w:w="4100"/>
            <w:tcMar>
              <w:top w:w="0" w:type="dxa"/>
              <w:bottom w:w="0" w:type="dxa"/>
              <w:left w:w="15" w:type="dxa"/>
              <w:right w:w="15" w:type="dxa"/>
            </w:tcMar>
          </w:tcPr>
          <w:p>
            <w:pPr>
              <w:widowControl w:val="0"/>
              <w:spacing w:after="0" w:before="0" w:line="300" w:lineRule="exact"/>
              <w:jc w:val="left"/>
            </w:pPr>
            <w:r>
              <w:rPr>
                <w:rFonts w:ascii="Arial" w:hAnsi="Arial"/>
                <w:b w:val="0"/>
                <w:sz w:val="16"/>
              </w:rPr>
              <w:t>Parent ROE, average equity</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sz w:val="16"/>
              </w:rPr>
              <w:t>Not available</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15.1%</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21.8%</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21.1%</w:t>
            </w:r>
          </w:p>
        </w:tc>
      </w:tr>
      <w:tr>
        <w:trPr>
          <w:cantSplit/>
        </w:trPr>
        <w:tc>
          <w:tcPr>
            <w:tcW w:type="dxa" w:w="4100"/>
            <w:tcMar>
              <w:top w:w="0" w:type="dxa"/>
              <w:bottom w:w="0" w:type="dxa"/>
              <w:left w:w="15" w:type="dxa"/>
              <w:right w:w="15" w:type="dxa"/>
            </w:tcMar>
          </w:tcPr>
          <w:p>
            <w:pPr>
              <w:widowControl w:val="0"/>
              <w:spacing w:after="0" w:before="0" w:line="300" w:lineRule="exact"/>
              <w:jc w:val="left"/>
            </w:pPr>
            <w:r>
              <w:rPr>
                <w:rFonts w:ascii="Arial" w:hAnsi="Arial"/>
                <w:b w:val="0"/>
                <w:sz w:val="16"/>
              </w:rPr>
              <w:t>Asset turnover</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sz w:val="16"/>
              </w:rPr>
              <w:t>Not available</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0.39x</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0.39x</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0.39x</w:t>
            </w:r>
          </w:p>
        </w:tc>
      </w:tr>
      <w:tr>
        <w:trPr>
          <w:cantSplit/>
        </w:trPr>
        <w:tc>
          <w:tcPr>
            <w:tcW w:type="dxa" w:w="4100"/>
            <w:tcMar>
              <w:top w:w="0" w:type="dxa"/>
              <w:bottom w:w="0" w:type="dxa"/>
              <w:left w:w="15" w:type="dxa"/>
              <w:right w:w="15" w:type="dxa"/>
            </w:tcMar>
          </w:tcPr>
          <w:p>
            <w:pPr>
              <w:widowControl w:val="0"/>
              <w:spacing w:after="0" w:before="0" w:line="300" w:lineRule="exact"/>
              <w:jc w:val="left"/>
            </w:pPr>
            <w:r>
              <w:rPr>
                <w:rFonts w:ascii="Arial" w:hAnsi="Arial"/>
                <w:b w:val="0"/>
                <w:sz w:val="16"/>
              </w:rPr>
              <w:t>Assets / parent equity</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sz w:val="16"/>
              </w:rPr>
              <w:t>Not available</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2.06x</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1.88x</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1.80x</w:t>
            </w:r>
          </w:p>
        </w:tc>
      </w:tr>
    </w:tbl>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4100"/>
        <w:gridCol w:w="1635"/>
        <w:gridCol w:w="1635"/>
        <w:gridCol w:w="1635"/>
        <w:gridCol w:w="1635"/>
      </w:tblGrid>
      <w:tr>
        <w:trPr>
          <w:cantSplit/>
          <w:tblHeader/>
        </w:trPr>
        <w:tc>
          <w:tcPr>
            <w:tcW w:type="dxa" w:w="4100"/>
            <w:tcMar>
              <w:top w:w="0" w:type="dxa"/>
              <w:bottom w:w="0" w:type="dxa"/>
              <w:left w:w="15" w:type="dxa"/>
              <w:right w:w="15" w:type="dxa"/>
            </w:tcMar>
            <w:shd w:fill="082C4A"/>
          </w:tcPr>
          <w:p>
            <w:pPr>
              <w:widowControl w:val="0"/>
              <w:spacing w:after="0" w:before="0" w:line="300" w:lineRule="exact"/>
              <w:jc w:val="left"/>
            </w:pPr>
            <w:r>
              <w:rPr>
                <w:rFonts w:ascii="Arial" w:hAnsi="Arial"/>
                <w:b/>
                <w:color w:val="FFFFFF"/>
                <w:sz w:val="16"/>
              </w:rPr>
              <w:t>DuPont reconciliation</w:t>
            </w:r>
          </w:p>
        </w:tc>
        <w:tc>
          <w:tcPr>
            <w:tcW w:type="dxa" w:w="1635"/>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2022-12-31</w:t>
            </w:r>
          </w:p>
        </w:tc>
        <w:tc>
          <w:tcPr>
            <w:tcW w:type="dxa" w:w="1635"/>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2023-12-31</w:t>
            </w:r>
          </w:p>
        </w:tc>
        <w:tc>
          <w:tcPr>
            <w:tcW w:type="dxa" w:w="1635"/>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2024-12-31</w:t>
            </w:r>
          </w:p>
        </w:tc>
        <w:tc>
          <w:tcPr>
            <w:tcW w:type="dxa" w:w="1635"/>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2025-12-31</w:t>
            </w:r>
          </w:p>
        </w:tc>
      </w:tr>
      <w:tr>
        <w:trPr>
          <w:cantSplit/>
        </w:trPr>
        <w:tc>
          <w:tcPr>
            <w:tcW w:type="dxa" w:w="4100"/>
            <w:tcMar>
              <w:top w:w="0" w:type="dxa"/>
              <w:bottom w:w="0" w:type="dxa"/>
              <w:left w:w="15" w:type="dxa"/>
              <w:right w:w="15" w:type="dxa"/>
            </w:tcMar>
          </w:tcPr>
          <w:p>
            <w:pPr>
              <w:widowControl w:val="0"/>
              <w:spacing w:after="0" w:before="0" w:line="300" w:lineRule="exact"/>
              <w:jc w:val="left"/>
            </w:pPr>
            <w:r>
              <w:rPr>
                <w:rFonts w:ascii="Arial" w:hAnsi="Arial"/>
                <w:b w:val="0"/>
                <w:sz w:val="16"/>
              </w:rPr>
              <w:t>Direct parent ROE</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sz w:val="16"/>
              </w:rPr>
              <w:t>Not available</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15.1%</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21.8%</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21.1%</w:t>
            </w:r>
          </w:p>
        </w:tc>
      </w:tr>
      <w:tr>
        <w:trPr>
          <w:cantSplit/>
        </w:trPr>
        <w:tc>
          <w:tcPr>
            <w:tcW w:type="dxa" w:w="4100"/>
            <w:tcMar>
              <w:top w:w="0" w:type="dxa"/>
              <w:bottom w:w="0" w:type="dxa"/>
              <w:left w:w="15" w:type="dxa"/>
              <w:right w:w="15" w:type="dxa"/>
            </w:tcMar>
          </w:tcPr>
          <w:p>
            <w:pPr>
              <w:widowControl w:val="0"/>
              <w:spacing w:after="0" w:before="0" w:line="300" w:lineRule="exact"/>
              <w:jc w:val="left"/>
            </w:pPr>
            <w:r>
              <w:rPr>
                <w:rFonts w:ascii="Arial" w:hAnsi="Arial"/>
                <w:b w:val="0"/>
                <w:sz w:val="16"/>
              </w:rPr>
              <w:t>Three-factor product</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sz w:val="16"/>
              </w:rPr>
              <w:t>Not available</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15.1%</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21.8%</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21.1%</w:t>
            </w:r>
          </w:p>
        </w:tc>
      </w:tr>
      <w:tr>
        <w:trPr>
          <w:cantSplit/>
        </w:trPr>
        <w:tc>
          <w:tcPr>
            <w:tcW w:type="dxa" w:w="4100"/>
            <w:tcMar>
              <w:top w:w="0" w:type="dxa"/>
              <w:bottom w:w="0" w:type="dxa"/>
              <w:left w:w="15" w:type="dxa"/>
              <w:right w:w="15" w:type="dxa"/>
            </w:tcMar>
          </w:tcPr>
          <w:p>
            <w:pPr>
              <w:widowControl w:val="0"/>
              <w:spacing w:after="0" w:before="0" w:line="300" w:lineRule="exact"/>
              <w:jc w:val="left"/>
            </w:pPr>
            <w:r>
              <w:rPr>
                <w:rFonts w:ascii="Arial" w:hAnsi="Arial"/>
                <w:b w:val="0"/>
                <w:sz w:val="16"/>
              </w:rPr>
              <w:t>Absolute identity error</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sz w:val="16"/>
              </w:rPr>
              <w:t>Not available</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0.00e+00</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0.00e+00</w:t>
            </w:r>
          </w:p>
        </w:tc>
        <w:tc>
          <w:tcPr>
            <w:tcW w:type="dxa" w:w="1635"/>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2.78e-17</w:t>
            </w:r>
          </w:p>
        </w:tc>
      </w:tr>
    </w:tbl>
    <w:p>
      <w:pPr>
        <w:widowControl w:val="0"/>
        <w:spacing w:after="140" w:before="0" w:line="164" w:lineRule="exact"/>
      </w:pPr>
      <w:r>
        <w:rPr>
          <w:rFonts w:ascii="Arial" w:hAnsi="Arial"/>
          <w:b w:val="0"/>
          <w:color w:val="666666"/>
          <w:sz w:val="14"/>
        </w:rPr>
        <w:t xml:space="preserve">Sources: frozen public financial feeds and matched SEC tags where available. Secondary fields require filing review. Amounts are reporting-currency millions unless stated. </w:t>
      </w:r>
    </w:p>
    <w:p>
      <w:pPr>
        <w:spacing w:after="0" w:before="0" w:line="20" w:lineRule="exact"/>
        <w:sectPr>
          <w:footerReference w:type="default" r:id="rId18"/>
          <w:pgSz w:w="12240" w:h="15840"/>
          <w:pgMar w:top="60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Five year operating forecast</w:t>
      </w:r>
    </w:p>
    <w:p>
      <w:pPr>
        <w:widowControl w:val="0"/>
        <w:spacing w:after="180" w:before="0" w:line="260" w:lineRule="exact"/>
      </w:pPr>
      <w:r>
        <w:rPr>
          <w:rFonts w:ascii="Arial" w:hAnsi="Arial"/>
          <w:b w:val="0"/>
          <w:sz w:val="19"/>
        </w:rPr>
        <w:t>Forecasts are explicit assumptions, not management guidance. The model projects the issuer in aggregate; there is no verified segment, product or order forecast in this packet. The first annual FCFF is prorated to the days remaining after the analysis date.</w:t>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3000"/>
        <w:gridCol w:w="1528"/>
        <w:gridCol w:w="1528"/>
        <w:gridCol w:w="1528"/>
        <w:gridCol w:w="1528"/>
        <w:gridCol w:w="1528"/>
      </w:tblGrid>
      <w:tr>
        <w:trPr>
          <w:cantSplit/>
          <w:tblHeader/>
        </w:trPr>
        <w:tc>
          <w:tcPr>
            <w:tcW w:type="dxa" w:w="3000"/>
            <w:tcMar>
              <w:top w:w="0" w:type="dxa"/>
              <w:bottom w:w="0" w:type="dxa"/>
              <w:left w:w="15" w:type="dxa"/>
              <w:right w:w="15" w:type="dxa"/>
            </w:tcMar>
            <w:shd w:fill="082C4A"/>
          </w:tcPr>
          <w:p>
            <w:pPr>
              <w:widowControl w:val="0"/>
              <w:spacing w:after="0" w:before="0" w:line="300" w:lineRule="exact"/>
              <w:jc w:val="left"/>
            </w:pPr>
            <w:r>
              <w:rPr>
                <w:rFonts w:ascii="Arial" w:hAnsi="Arial"/>
                <w:b/>
                <w:color w:val="FFFFFF"/>
                <w:sz w:val="16"/>
              </w:rPr>
              <w:t>Base drivers / forecast</w:t>
            </w:r>
          </w:p>
        </w:tc>
        <w:tc>
          <w:tcPr>
            <w:tcW w:type="dxa" w:w="1528"/>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2026E</w:t>
            </w:r>
          </w:p>
        </w:tc>
        <w:tc>
          <w:tcPr>
            <w:tcW w:type="dxa" w:w="1528"/>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2027E</w:t>
            </w:r>
          </w:p>
        </w:tc>
        <w:tc>
          <w:tcPr>
            <w:tcW w:type="dxa" w:w="1528"/>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2028E</w:t>
            </w:r>
          </w:p>
        </w:tc>
        <w:tc>
          <w:tcPr>
            <w:tcW w:type="dxa" w:w="1528"/>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2029E</w:t>
            </w:r>
          </w:p>
        </w:tc>
        <w:tc>
          <w:tcPr>
            <w:tcW w:type="dxa" w:w="1528"/>
            <w:tcMar>
              <w:top w:w="0" w:type="dxa"/>
              <w:bottom w:w="0" w:type="dxa"/>
              <w:left w:w="15" w:type="dxa"/>
              <w:right w:w="15" w:type="dxa"/>
            </w:tcMar>
            <w:noWrap/>
            <w:shd w:fill="082C4A"/>
          </w:tcPr>
          <w:p>
            <w:pPr>
              <w:widowControl w:val="0"/>
              <w:spacing w:after="0" w:before="0" w:line="300" w:lineRule="exact"/>
              <w:jc w:val="right"/>
            </w:pPr>
            <w:r>
              <w:rPr>
                <w:rFonts w:ascii="Arial" w:hAnsi="Arial"/>
                <w:b/>
                <w:color w:val="FFFFFF"/>
                <w:sz w:val="16"/>
              </w:rPr>
              <w:t>2030E</w:t>
            </w:r>
          </w:p>
        </w:tc>
      </w:tr>
      <w:tr>
        <w:trPr>
          <w:cantSplit/>
        </w:trPr>
        <w:tc>
          <w:tcPr>
            <w:tcW w:type="dxa" w:w="3000"/>
            <w:tcMar>
              <w:top w:w="0" w:type="dxa"/>
              <w:bottom w:w="0" w:type="dxa"/>
              <w:left w:w="15" w:type="dxa"/>
              <w:right w:w="15" w:type="dxa"/>
            </w:tcMar>
          </w:tcPr>
          <w:p>
            <w:pPr>
              <w:widowControl w:val="0"/>
              <w:spacing w:after="0" w:before="0" w:line="300" w:lineRule="exact"/>
              <w:jc w:val="left"/>
            </w:pPr>
            <w:r>
              <w:rPr>
                <w:rFonts w:ascii="Arial" w:hAnsi="Arial"/>
                <w:b w:val="0"/>
                <w:sz w:val="16"/>
              </w:rPr>
              <w:t>Revenue</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855,957.8</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954,287.5</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1,041,278.1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1,111,500.2</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1,160,094.1</w:t>
            </w:r>
          </w:p>
        </w:tc>
      </w:tr>
      <w:tr>
        <w:trPr>
          <w:cantSplit/>
        </w:trPr>
        <w:tc>
          <w:tcPr>
            <w:tcW w:type="dxa" w:w="3000"/>
            <w:tcMar>
              <w:top w:w="0" w:type="dxa"/>
              <w:bottom w:w="0" w:type="dxa"/>
              <w:left w:w="15" w:type="dxa"/>
              <w:right w:w="15" w:type="dxa"/>
            </w:tcMar>
          </w:tcPr>
          <w:p>
            <w:pPr>
              <w:widowControl w:val="0"/>
              <w:spacing w:after="0" w:before="0" w:line="300" w:lineRule="exact"/>
              <w:jc w:val="left"/>
            </w:pPr>
            <w:r>
              <w:rPr>
                <w:rFonts w:ascii="Arial" w:hAnsi="Arial"/>
                <w:b w:val="0"/>
                <w:sz w:val="16"/>
              </w:rPr>
              <w:t>EBIT margin</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33.1%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33.1%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33.1%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33.1%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33.1%</w:t>
            </w:r>
          </w:p>
        </w:tc>
      </w:tr>
      <w:tr>
        <w:trPr>
          <w:cantSplit/>
        </w:trPr>
        <w:tc>
          <w:tcPr>
            <w:tcW w:type="dxa" w:w="3000"/>
            <w:tcMar>
              <w:top w:w="0" w:type="dxa"/>
              <w:bottom w:w="0" w:type="dxa"/>
              <w:left w:w="15" w:type="dxa"/>
              <w:right w:w="15" w:type="dxa"/>
            </w:tcMar>
          </w:tcPr>
          <w:p>
            <w:pPr>
              <w:widowControl w:val="0"/>
              <w:spacing w:after="0" w:before="0" w:line="300" w:lineRule="exact"/>
              <w:jc w:val="left"/>
            </w:pPr>
            <w:r>
              <w:rPr>
                <w:rFonts w:ascii="Arial" w:hAnsi="Arial"/>
                <w:b w:val="0"/>
                <w:sz w:val="16"/>
              </w:rPr>
              <w:t>EBIT</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283,245.1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315,783.4</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344,569.5</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367,806.7</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383,886.9</w:t>
            </w:r>
          </w:p>
        </w:tc>
      </w:tr>
      <w:tr>
        <w:trPr>
          <w:cantSplit/>
        </w:trPr>
        <w:tc>
          <w:tcPr>
            <w:tcW w:type="dxa" w:w="3000"/>
            <w:tcMar>
              <w:top w:w="0" w:type="dxa"/>
              <w:bottom w:w="0" w:type="dxa"/>
              <w:left w:w="15" w:type="dxa"/>
              <w:right w:w="15" w:type="dxa"/>
            </w:tcMar>
          </w:tcPr>
          <w:p>
            <w:pPr>
              <w:widowControl w:val="0"/>
              <w:spacing w:after="0" w:before="0" w:line="300" w:lineRule="exact"/>
              <w:jc w:val="left"/>
            </w:pPr>
            <w:r>
              <w:rPr>
                <w:rFonts w:ascii="Arial" w:hAnsi="Arial"/>
                <w:b w:val="0"/>
                <w:sz w:val="16"/>
              </w:rPr>
              <w:t>Operating tax rate</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17.1%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17.1%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17.1%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17.1%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17.1%</w:t>
            </w:r>
          </w:p>
        </w:tc>
      </w:tr>
      <w:tr>
        <w:trPr>
          <w:cantSplit/>
        </w:trPr>
        <w:tc>
          <w:tcPr>
            <w:tcW w:type="dxa" w:w="3000"/>
            <w:tcMar>
              <w:top w:w="0" w:type="dxa"/>
              <w:bottom w:w="0" w:type="dxa"/>
              <w:left w:w="15" w:type="dxa"/>
              <w:right w:w="15" w:type="dxa"/>
            </w:tcMar>
          </w:tcPr>
          <w:p>
            <w:pPr>
              <w:widowControl w:val="0"/>
              <w:spacing w:after="0" w:before="0" w:line="300" w:lineRule="exact"/>
              <w:jc w:val="left"/>
            </w:pPr>
            <w:r>
              <w:rPr>
                <w:rFonts w:ascii="Arial" w:hAnsi="Arial"/>
                <w:b w:val="0"/>
                <w:sz w:val="16"/>
              </w:rPr>
              <w:t>D&amp;A</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75,179.2</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83,815.6</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91,456.0</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97,623.6</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101,891.7</w:t>
            </w:r>
          </w:p>
        </w:tc>
      </w:tr>
      <w:tr>
        <w:trPr>
          <w:cantSplit/>
        </w:trPr>
        <w:tc>
          <w:tcPr>
            <w:tcW w:type="dxa" w:w="3000"/>
            <w:tcMar>
              <w:top w:w="0" w:type="dxa"/>
              <w:bottom w:w="0" w:type="dxa"/>
              <w:left w:w="15" w:type="dxa"/>
              <w:right w:w="15" w:type="dxa"/>
            </w:tcMar>
          </w:tcPr>
          <w:p>
            <w:pPr>
              <w:widowControl w:val="0"/>
              <w:spacing w:after="0" w:before="0" w:line="300" w:lineRule="exact"/>
              <w:jc w:val="left"/>
            </w:pPr>
            <w:r>
              <w:rPr>
                <w:rFonts w:ascii="Arial" w:hAnsi="Arial"/>
                <w:b w:val="0"/>
                <w:sz w:val="16"/>
              </w:rPr>
              <w:t>Capex</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128,525.9</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143,290.5</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156,352.5</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166,896.7</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174,193.3</w:t>
            </w:r>
          </w:p>
        </w:tc>
      </w:tr>
      <w:tr>
        <w:trPr>
          <w:cantSplit/>
        </w:trPr>
        <w:tc>
          <w:tcPr>
            <w:tcW w:type="dxa" w:w="3000"/>
            <w:tcMar>
              <w:top w:w="0" w:type="dxa"/>
              <w:bottom w:w="0" w:type="dxa"/>
              <w:left w:w="15" w:type="dxa"/>
              <w:right w:w="15" w:type="dxa"/>
            </w:tcMar>
          </w:tcPr>
          <w:p>
            <w:pPr>
              <w:widowControl w:val="0"/>
              <w:spacing w:after="0" w:before="0" w:line="300" w:lineRule="exact"/>
              <w:jc w:val="left"/>
            </w:pPr>
            <w:r>
              <w:rPr>
                <w:rFonts w:ascii="Arial" w:hAnsi="Arial"/>
                <w:b w:val="0"/>
                <w:sz w:val="16"/>
              </w:rPr>
              <w:t>Trade NWC proxy</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-80,461.2</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-89,704.3</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-97,881.5</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-104,482.5</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-109,050.4</w:t>
            </w:r>
          </w:p>
        </w:tc>
      </w:tr>
      <w:tr>
        <w:trPr>
          <w:cantSplit/>
        </w:trPr>
        <w:tc>
          <w:tcPr>
            <w:tcW w:type="dxa" w:w="3000"/>
            <w:tcMar>
              <w:top w:w="0" w:type="dxa"/>
              <w:bottom w:w="0" w:type="dxa"/>
              <w:left w:w="15" w:type="dxa"/>
              <w:right w:w="15" w:type="dxa"/>
            </w:tcMar>
          </w:tcPr>
          <w:p>
            <w:pPr>
              <w:widowControl w:val="0"/>
              <w:spacing w:after="0" w:before="0" w:line="300" w:lineRule="exact"/>
              <w:jc w:val="left"/>
            </w:pPr>
            <w:r>
              <w:rPr>
                <w:rFonts w:ascii="Arial" w:hAnsi="Arial"/>
                <w:b w:val="0"/>
                <w:sz w:val="16"/>
              </w:rPr>
              <w:t>Full year FCFF</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191,218.5</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211,508.9</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228,881.1</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242,188.7</w:t>
            </w:r>
          </w:p>
        </w:tc>
        <w:tc>
          <w:tcPr>
            <w:tcW w:type="dxa" w:w="1528"/>
            <w:tcMar>
              <w:top w:w="0" w:type="dxa"/>
              <w:bottom w:w="0" w:type="dxa"/>
              <w:left w:w="15" w:type="dxa"/>
              <w:right w:w="15" w:type="dxa"/>
            </w:tcMar>
            <w:noWrap/>
          </w:tcPr>
          <w:p>
            <w:pPr>
              <w:widowControl w:val="0"/>
              <w:spacing w:after="0" w:before="0" w:line="300" w:lineRule="exact"/>
              <w:jc w:val="right"/>
            </w:pPr>
            <w:r>
              <w:rPr>
                <w:rFonts w:ascii="Arial" w:hAnsi="Arial"/>
                <w:b w:val="0"/>
                <w:color w:val="082C4A"/>
                <w:sz w:val="16"/>
              </w:rPr>
              <w:t>250,455.3</w:t>
            </w:r>
          </w:p>
        </w:tc>
      </w:tr>
    </w:tbl>
    <w:p>
      <w:pPr>
        <w:widowControl w:val="0"/>
        <w:spacing w:after="180" w:before="0" w:line="240" w:lineRule="exact"/>
      </w:pPr>
      <w:r>
        <w:rPr>
          <w:rFonts w:ascii="Arial" w:hAnsi="Arial"/>
          <w:b w:val="0"/>
          <w:sz w:val="18"/>
        </w:rPr>
        <w:t>Initial growth 13.9% fades toward perpetual growth. Historical D&amp;A / revenue 8.8%, capex / revenue 15.0% and trade NWC / revenue -9.4% are mechanical drivers unless explicitly overridden. Vendor EBIT requires accounting reconciliation before interpretation as core operating profit.</w:t>
      </w:r>
    </w:p>
    <w:p>
      <w:pPr>
        <w:widowControl w:val="0"/>
        <w:spacing w:after="140" w:before="0" w:line="164" w:lineRule="exact"/>
      </w:pPr>
      <w:r>
        <w:rPr>
          <w:rFonts w:ascii="Arial" w:hAnsi="Arial"/>
          <w:b w:val="0"/>
          <w:color w:val="666666"/>
          <w:sz w:val="14"/>
        </w:rPr>
        <w:t xml:space="preserve">Sources: frozen public financial feeds and matched SEC tags where available. Secondary fields require filing review. Amounts are reporting-currency millions unless stated. </w:t>
      </w:r>
    </w:p>
    <w:p>
      <w:pPr>
        <w:spacing w:after="0" w:before="0" w:line="20" w:lineRule="exact"/>
        <w:sectPr>
          <w:footerReference w:type="default" r:id="rId20"/>
          <w:pgSz w:w="12240" w:h="15840"/>
          <w:pgMar w:top="60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DCF comparison | Three operating scenarios</w:t>
      </w:r>
    </w:p>
    <w:tbl>
      <w:tblPr>
        <w:tblW w:type="auto" w:w="0"/>
        <w:tblLayout w:type="fixed"/>
        <w:tblLook w:firstColumn="1" w:firstRow="1" w:lastColumn="0" w:lastRow="0" w:noHBand="0" w:noVBand="1" w:val="04A0"/>
      </w:tblPr>
      <w:tblGrid>
        <w:gridCol w:w="6660"/>
        <w:gridCol w:w="3980"/>
      </w:tblGrid>
      <w:tr>
        <w:tc>
          <w:tcPr>
            <w:tcW w:type="dxa" w:w="6660"/>
            <w:tcMar>
              <w:top w:w="0" w:type="dxa"/>
              <w:bottom w:w="0" w:type="dxa"/>
              <w:left w:w="0" w:type="dxa"/>
              <w:right w:w="160" w:type="dxa"/>
            </w:tcMar>
            <w:tcBorders>
              <w:right w:val="single" w:sz="3" w:color="8F969C"/>
            </w:tcBorders>
          </w:tcPr>
          <w:p>
            <w:pPr>
              <w:spacing w:after="0" w:line="20" w:lineRule="exact"/>
            </w:pPr>
            <w:r>
              <w:rPr>
                <w:sz w:val="2"/>
              </w:rPr>
            </w:r>
          </w:p>
          <w:p>
            <w:pPr>
              <w:widowControl w:val="0"/>
              <w:spacing w:after="100" w:before="0" w:line="275" w:lineRule="exact"/>
            </w:pPr>
            <w:r>
              <w:rPr>
                <w:rFonts w:ascii="Arial" w:hAnsi="Arial"/>
                <w:b/>
                <w:sz w:val="22"/>
              </w:rPr>
              <w:t>BASE DCF HKD 372.11</w:t>
            </w:r>
          </w:p>
          <w:p>
            <w:pPr>
              <w:widowControl w:val="0"/>
              <w:spacing w:after="180" w:before="0" w:line="240" w:lineRule="exact"/>
            </w:pPr>
            <w:r>
              <w:rPr>
                <w:rFonts w:ascii="Arial" w:hAnsi="Arial"/>
                <w:b w:val="0"/>
                <w:sz w:val="18"/>
              </w:rPr>
              <w:t>FCFF / WACC as of 2026-10-03. Five explicit years and normalized terminal reinvestment.</w:t>
            </w:r>
          </w:p>
          <w:p>
            <w:pPr>
              <w:spacing w:line="240" w:lineRule="auto" w:after="80"/>
            </w:pPr>
            <w:r>
              <w:drawing>
                <wp:inline xmlns:a="http://schemas.openxmlformats.org/drawingml/2006/main" xmlns:pic="http://schemas.openxmlformats.org/drawingml/2006/picture">
                  <wp:extent cx="4127500" cy="2306544"/>
                  <wp:docPr id="1" name="Picture 1"/>
                  <wp:cNvGraphicFramePr>
                    <a:graphicFrameLocks noChangeAspect="1"/>
                  </wp:cNvGraphicFramePr>
                  <a:graphic>
                    <a:graphicData uri="http://schemas.openxmlformats.org/drawingml/2006/picture">
                      <pic:pic>
                        <pic:nvPicPr>
                          <pic:cNvPr id="0" name="dcf_comparison.png"/>
                          <pic:cNvPicPr/>
                        </pic:nvPicPr>
                        <pic:blipFill>
                          <a:blip r:embed="rId23"/>
                          <a:stretch>
                            <a:fillRect/>
                          </a:stretch>
                        </pic:blipFill>
                        <pic:spPr>
                          <a:xfrm>
                            <a:off x="0" y="0"/>
                            <a:ext cx="4127500" cy="2306544"/>
                          </a:xfrm>
                          <a:prstGeom prst="rect"/>
                        </pic:spPr>
                      </pic:pic>
                    </a:graphicData>
                  </a:graphic>
                </wp:inline>
              </w:drawing>
            </w:r>
          </w:p>
          <w:p>
            <w:pPr>
              <w:widowControl w:val="0"/>
              <w:spacing w:after="180" w:before="0" w:line="200" w:lineRule="exact"/>
            </w:pPr>
            <w:r>
              <w:rPr>
                <w:rFonts w:ascii="Arial" w:hAnsi="Arial"/>
                <w:b w:val="0"/>
                <w:sz w:val="15"/>
              </w:rPr>
              <w:t>Connections compare values with the dated close. No price path or scenario probability is assigned.</w:t>
            </w:r>
          </w:p>
        </w:tc>
        <w:tc>
          <w:tcPr>
            <w:tcW w:type="dxa" w:w="3980"/>
            <w:tcMar>
              <w:top w:w="0" w:type="dxa"/>
              <w:bottom w:w="0" w:type="dxa"/>
              <w:left w:w="180" w:type="dxa"/>
              <w:right w:w="0" w:type="dxa"/>
            </w:tcMar>
          </w:tcPr>
          <w:p>
            <w:pPr>
              <w:spacing w:after="0" w:line="20" w:lineRule="exact"/>
            </w:pPr>
            <w:r>
              <w:rPr>
                <w:sz w:val="2"/>
              </w:rPr>
            </w:r>
          </w:p>
          <w:p>
            <w:pPr>
              <w:widowControl w:val="0"/>
              <w:spacing w:after="100" w:before="0" w:line="250" w:lineRule="exact"/>
            </w:pPr>
            <w:r>
              <w:rPr>
                <w:rFonts w:ascii="Arial" w:hAnsi="Arial"/>
                <w:b/>
                <w:sz w:val="20"/>
              </w:rPr>
              <w:t>Shared valuation inputs</w:t>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2500"/>
              <w:gridCol w:w="1240"/>
            </w:tblGrid>
            <w:tr>
              <w:trPr>
                <w:cantSplit/>
                <w:tblHeader/>
              </w:trPr>
              <w:tc>
                <w:tcPr>
                  <w:tcW w:type="dxa" w:w="2500"/>
                  <w:tcMar>
                    <w:top w:w="0" w:type="dxa"/>
                    <w:bottom w:w="0" w:type="dxa"/>
                    <w:left w:w="15" w:type="dxa"/>
                    <w:right w:w="15" w:type="dxa"/>
                  </w:tcMar>
                  <w:shd w:fill="082C4A"/>
                </w:tcPr>
                <w:p>
                  <w:pPr>
                    <w:widowControl w:val="0"/>
                    <w:spacing w:after="0" w:before="0" w:line="240" w:lineRule="exact"/>
                    <w:jc w:val="left"/>
                  </w:pPr>
                  <w:r>
                    <w:rPr>
                      <w:rFonts w:ascii="Arial" w:hAnsi="Arial"/>
                      <w:b/>
                      <w:color w:val="FFFFFF"/>
                      <w:sz w:val="16"/>
                    </w:rPr>
                    <w:t>Assumption</w:t>
                  </w:r>
                </w:p>
              </w:tc>
              <w:tc>
                <w:tcPr>
                  <w:tcW w:type="dxa" w:w="1240"/>
                  <w:tcMar>
                    <w:top w:w="0" w:type="dxa"/>
                    <w:bottom w:w="0" w:type="dxa"/>
                    <w:left w:w="15" w:type="dxa"/>
                    <w:right w:w="15" w:type="dxa"/>
                  </w:tcMar>
                  <w:noWrap/>
                  <w:shd w:fill="082C4A"/>
                </w:tcPr>
                <w:p>
                  <w:pPr>
                    <w:widowControl w:val="0"/>
                    <w:spacing w:after="0" w:before="0" w:line="240" w:lineRule="exact"/>
                    <w:jc w:val="right"/>
                  </w:pPr>
                  <w:r>
                    <w:rPr>
                      <w:rFonts w:ascii="Arial" w:hAnsi="Arial"/>
                      <w:b/>
                      <w:color w:val="FFFFFF"/>
                      <w:sz w:val="16"/>
                    </w:rPr>
                    <w:t>Value</w:t>
                  </w:r>
                </w:p>
              </w:tc>
            </w:tr>
            <w:tr>
              <w:trPr>
                <w:cantSplit/>
              </w:trPr>
              <w:tc>
                <w:tcPr>
                  <w:tcW w:type="dxa" w:w="2500"/>
                  <w:tcMar>
                    <w:top w:w="0" w:type="dxa"/>
                    <w:bottom w:w="0" w:type="dxa"/>
                    <w:left w:w="15" w:type="dxa"/>
                    <w:right w:w="15" w:type="dxa"/>
                  </w:tcMar>
                </w:tcPr>
                <w:p>
                  <w:pPr>
                    <w:widowControl w:val="0"/>
                    <w:spacing w:after="0" w:before="0" w:line="240" w:lineRule="exact"/>
                    <w:jc w:val="left"/>
                  </w:pPr>
                  <w:r>
                    <w:rPr>
                      <w:rFonts w:ascii="Arial" w:hAnsi="Arial"/>
                      <w:b w:val="0"/>
                      <w:sz w:val="16"/>
                    </w:rPr>
                    <w:t>WACC</w:t>
                  </w:r>
                </w:p>
              </w:tc>
              <w:tc>
                <w:tcPr>
                  <w:tcW w:type="dxa" w:w="12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10.0%</w:t>
                  </w:r>
                </w:p>
              </w:tc>
            </w:tr>
            <w:tr>
              <w:trPr>
                <w:cantSplit/>
              </w:trPr>
              <w:tc>
                <w:tcPr>
                  <w:tcW w:type="dxa" w:w="2500"/>
                  <w:tcMar>
                    <w:top w:w="0" w:type="dxa"/>
                    <w:bottom w:w="0" w:type="dxa"/>
                    <w:left w:w="15" w:type="dxa"/>
                    <w:right w:w="15" w:type="dxa"/>
                  </w:tcMar>
                </w:tcPr>
                <w:p>
                  <w:pPr>
                    <w:widowControl w:val="0"/>
                    <w:spacing w:after="0" w:before="0" w:line="240" w:lineRule="exact"/>
                    <w:jc w:val="left"/>
                  </w:pPr>
                  <w:r>
                    <w:rPr>
                      <w:rFonts w:ascii="Arial" w:hAnsi="Arial"/>
                      <w:b w:val="0"/>
                      <w:sz w:val="16"/>
                    </w:rPr>
                    <w:t>Perpetual growth</w:t>
                  </w:r>
                </w:p>
              </w:tc>
              <w:tc>
                <w:tcPr>
                  <w:tcW w:type="dxa" w:w="12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2.0%</w:t>
                  </w:r>
                </w:p>
              </w:tc>
            </w:tr>
            <w:tr>
              <w:trPr>
                <w:cantSplit/>
              </w:trPr>
              <w:tc>
                <w:tcPr>
                  <w:tcW w:type="dxa" w:w="2500"/>
                  <w:tcMar>
                    <w:top w:w="0" w:type="dxa"/>
                    <w:bottom w:w="0" w:type="dxa"/>
                    <w:left w:w="15" w:type="dxa"/>
                    <w:right w:w="15" w:type="dxa"/>
                  </w:tcMar>
                </w:tcPr>
                <w:p>
                  <w:pPr>
                    <w:widowControl w:val="0"/>
                    <w:spacing w:after="0" w:before="0" w:line="240" w:lineRule="exact"/>
                    <w:jc w:val="left"/>
                  </w:pPr>
                  <w:r>
                    <w:rPr>
                      <w:rFonts w:ascii="Arial" w:hAnsi="Arial"/>
                      <w:b w:val="0"/>
                      <w:sz w:val="16"/>
                    </w:rPr>
                    <w:t>Stable ROIC</w:t>
                  </w:r>
                </w:p>
              </w:tc>
              <w:tc>
                <w:tcPr>
                  <w:tcW w:type="dxa" w:w="12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12.0%</w:t>
                  </w:r>
                </w:p>
              </w:tc>
            </w:tr>
            <w:tr>
              <w:trPr>
                <w:cantSplit/>
              </w:trPr>
              <w:tc>
                <w:tcPr>
                  <w:tcW w:type="dxa" w:w="2500"/>
                  <w:tcMar>
                    <w:top w:w="0" w:type="dxa"/>
                    <w:bottom w:w="0" w:type="dxa"/>
                    <w:left w:w="15" w:type="dxa"/>
                    <w:right w:w="15" w:type="dxa"/>
                  </w:tcMar>
                </w:tcPr>
                <w:p>
                  <w:pPr>
                    <w:widowControl w:val="0"/>
                    <w:spacing w:after="0" w:before="0" w:line="240" w:lineRule="exact"/>
                    <w:jc w:val="left"/>
                  </w:pPr>
                  <w:r>
                    <w:rPr>
                      <w:rFonts w:ascii="Arial" w:hAnsi="Arial"/>
                      <w:b w:val="0"/>
                      <w:sz w:val="16"/>
                    </w:rPr>
                    <w:t>Stable tax</w:t>
                  </w:r>
                </w:p>
              </w:tc>
              <w:tc>
                <w:tcPr>
                  <w:tcW w:type="dxa" w:w="12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17.1%</w:t>
                  </w:r>
                </w:p>
              </w:tc>
            </w:tr>
            <w:tr>
              <w:trPr>
                <w:cantSplit/>
              </w:trPr>
              <w:tc>
                <w:tcPr>
                  <w:tcW w:type="dxa" w:w="2500"/>
                  <w:tcMar>
                    <w:top w:w="0" w:type="dxa"/>
                    <w:bottom w:w="0" w:type="dxa"/>
                    <w:left w:w="15" w:type="dxa"/>
                    <w:right w:w="15" w:type="dxa"/>
                  </w:tcMar>
                </w:tcPr>
                <w:p>
                  <w:pPr>
                    <w:widowControl w:val="0"/>
                    <w:spacing w:after="0" w:before="0" w:line="240" w:lineRule="exact"/>
                    <w:jc w:val="left"/>
                  </w:pPr>
                  <w:r>
                    <w:rPr>
                      <w:rFonts w:ascii="Arial" w:hAnsi="Arial"/>
                      <w:b w:val="0"/>
                      <w:sz w:val="16"/>
                    </w:rPr>
                    <w:t>Base stable margin</w:t>
                  </w:r>
                </w:p>
              </w:tc>
              <w:tc>
                <w:tcPr>
                  <w:tcW w:type="dxa" w:w="12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33.1%</w:t>
                  </w:r>
                </w:p>
              </w:tc>
            </w:tr>
            <w:tr>
              <w:trPr>
                <w:cantSplit/>
              </w:trPr>
              <w:tc>
                <w:tcPr>
                  <w:tcW w:type="dxa" w:w="2500"/>
                  <w:tcMar>
                    <w:top w:w="0" w:type="dxa"/>
                    <w:bottom w:w="0" w:type="dxa"/>
                    <w:left w:w="15" w:type="dxa"/>
                    <w:right w:w="15" w:type="dxa"/>
                  </w:tcMar>
                </w:tcPr>
                <w:p>
                  <w:pPr>
                    <w:widowControl w:val="0"/>
                    <w:spacing w:after="0" w:before="0" w:line="240" w:lineRule="exact"/>
                    <w:jc w:val="left"/>
                  </w:pPr>
                  <w:r>
                    <w:rPr>
                      <w:rFonts w:ascii="Arial" w:hAnsi="Arial"/>
                      <w:b w:val="0"/>
                      <w:sz w:val="16"/>
                    </w:rPr>
                    <w:t>TV / EV</w:t>
                  </w:r>
                </w:p>
              </w:tc>
              <w:tc>
                <w:tcPr>
                  <w:tcW w:type="dxa" w:w="1240"/>
                  <w:tcMar>
                    <w:top w:w="0" w:type="dxa"/>
                    <w:bottom w:w="0" w:type="dxa"/>
                    <w:left w:w="15" w:type="dxa"/>
                    <w:right w:w="15" w:type="dxa"/>
                  </w:tcMar>
                  <w:noWrap/>
                </w:tcPr>
                <w:p>
                  <w:pPr>
                    <w:widowControl w:val="0"/>
                    <w:spacing w:after="0" w:before="0" w:line="240" w:lineRule="exact"/>
                    <w:jc w:val="right"/>
                  </w:pPr>
                  <w:r>
                    <w:rPr>
                      <w:rFonts w:ascii="Arial" w:hAnsi="Arial"/>
                      <w:b w:val="0"/>
                      <w:color w:val="082C4A"/>
                      <w:sz w:val="16"/>
                    </w:rPr>
                    <w:t>74.7%</w:t>
                  </w:r>
                </w:p>
              </w:tc>
            </w:tr>
          </w:tbl>
          <w:p/>
          <w:p>
            <w:pPr>
              <w:widowControl w:val="0"/>
              <w:spacing w:after="180" w:before="0" w:line="220" w:lineRule="exact"/>
            </w:pPr>
            <w:r>
              <w:rPr>
                <w:rFonts w:ascii="Arial" w:hAnsi="Arial"/>
                <w:b w:val="0"/>
                <w:sz w:val="16"/>
              </w:rPr>
              <w:t>WACC and stable ROIC are explicit assumptions. Terminal share measures sensitivity; it does not validate forecast accuracy.</w:t>
            </w:r>
          </w:p>
        </w:tc>
      </w:tr>
    </w:tbl>
    <w:p>
      <w:pPr>
        <w:widowControl w:val="0"/>
        <w:spacing w:after="100" w:before="0" w:line="275" w:lineRule="exact"/>
      </w:pPr>
      <w:r>
        <w:rPr>
          <w:rFonts w:ascii="Arial" w:hAnsi="Arial"/>
          <w:b/>
          <w:sz w:val="22"/>
        </w:rPr>
        <w:t>Operating cases</w:t>
      </w:r>
    </w:p>
    <w:tbl>
      <w:tblPr>
        <w:tblW w:type="auto" w:w="0"/>
        <w:tblLayout w:type="fixed"/>
        <w:tblLook w:firstColumn="1" w:firstRow="1" w:lastColumn="0" w:lastRow="0" w:noHBand="0" w:noVBand="1" w:val="04A0"/>
      </w:tblPr>
      <w:tblGrid>
        <w:gridCol w:w="3547"/>
        <w:gridCol w:w="3547"/>
        <w:gridCol w:w="3547"/>
      </w:tblGrid>
      <w:tr>
        <w:tc>
          <w:tcPr>
            <w:tcW w:type="dxa" w:w="3540"/>
          </w:tcPr>
          <w:p/>
          <w:p>
            <w:pPr>
              <w:widowControl w:val="0"/>
              <w:spacing w:after="100" w:before="0" w:line="250" w:lineRule="exact"/>
            </w:pPr>
            <w:r>
              <w:rPr>
                <w:rFonts w:ascii="Arial" w:hAnsi="Arial"/>
                <w:b/>
                <w:sz w:val="20"/>
              </w:rPr>
              <w:t>BULL HKD 494.73</w:t>
            </w:r>
          </w:p>
          <w:p>
            <w:pPr>
              <w:widowControl w:val="0"/>
              <w:spacing w:after="180" w:before="0" w:line="220" w:lineRule="exact"/>
            </w:pPr>
            <w:r>
              <w:rPr>
                <w:rFonts w:ascii="Arial" w:hAnsi="Arial"/>
                <w:b w:val="0"/>
                <w:sz w:val="17"/>
              </w:rPr>
              <w:t>DCF / close 17.5%</w:t>
            </w:r>
          </w:p>
          <w:p>
            <w:pPr>
              <w:widowControl w:val="0"/>
              <w:spacing w:after="180" w:before="0" w:line="240" w:lineRule="exact"/>
            </w:pPr>
            <w:r>
              <w:rPr>
                <w:rFonts w:ascii="Arial" w:hAnsi="Arial"/>
                <w:b w:val="0"/>
                <w:sz w:val="18"/>
              </w:rPr>
              <w:t>Growth is base plus 5 percentage points; margin plus 2 points and NWC ratio minus 1 point.</w:t>
            </w:r>
          </w:p>
          <w:p>
            <w:pPr>
              <w:widowControl w:val="0"/>
              <w:spacing w:after="180" w:before="0" w:line="220" w:lineRule="exact"/>
            </w:pPr>
            <w:r>
              <w:rPr>
                <w:rFonts w:ascii="Arial" w:hAnsi="Arial"/>
                <w:b w:val="0"/>
                <w:sz w:val="16"/>
              </w:rPr>
              <w:t>2030E revenue 1,451,683.8m; EBIT margin 35.1%. Stable margin 35.1%.</w:t>
            </w:r>
          </w:p>
        </w:tc>
        <w:tc>
          <w:tcPr>
            <w:tcW w:type="dxa" w:w="3540"/>
          </w:tcPr>
          <w:p/>
          <w:p>
            <w:pPr>
              <w:widowControl w:val="0"/>
              <w:spacing w:after="100" w:before="0" w:line="250" w:lineRule="exact"/>
            </w:pPr>
            <w:r>
              <w:rPr>
                <w:rFonts w:ascii="Arial" w:hAnsi="Arial"/>
                <w:b/>
                <w:sz w:val="20"/>
              </w:rPr>
              <w:t>BASE HKD 372.11</w:t>
            </w:r>
          </w:p>
          <w:p>
            <w:pPr>
              <w:widowControl w:val="0"/>
              <w:spacing w:after="180" w:before="0" w:line="220" w:lineRule="exact"/>
            </w:pPr>
            <w:r>
              <w:rPr>
                <w:rFonts w:ascii="Arial" w:hAnsi="Arial"/>
                <w:b w:val="0"/>
                <w:sz w:val="17"/>
              </w:rPr>
              <w:t>DCF / close -11.7%</w:t>
            </w:r>
          </w:p>
          <w:p>
            <w:pPr>
              <w:widowControl w:val="0"/>
              <w:spacing w:after="180" w:before="0" w:line="240" w:lineRule="exact"/>
            </w:pPr>
            <w:r>
              <w:rPr>
                <w:rFonts w:ascii="Arial" w:hAnsi="Arial"/>
                <w:b w:val="0"/>
                <w:sz w:val="18"/>
              </w:rPr>
              <w:t>Recent growth fades toward perpetual growth. Margin, D&amp;A and reinvestment ratios follow the disclosed base assumptions.</w:t>
            </w:r>
          </w:p>
          <w:p>
            <w:pPr>
              <w:widowControl w:val="0"/>
              <w:spacing w:after="180" w:before="0" w:line="220" w:lineRule="exact"/>
            </w:pPr>
            <w:r>
              <w:rPr>
                <w:rFonts w:ascii="Arial" w:hAnsi="Arial"/>
                <w:b w:val="0"/>
                <w:sz w:val="16"/>
              </w:rPr>
              <w:t>2030E revenue 1,160,094.1m; EBIT margin 33.1%. Stable margin 33.1%.</w:t>
            </w:r>
          </w:p>
        </w:tc>
        <w:tc>
          <w:tcPr>
            <w:tcW w:type="dxa" w:w="3540"/>
          </w:tcPr>
          <w:p/>
          <w:p>
            <w:pPr>
              <w:widowControl w:val="0"/>
              <w:spacing w:after="100" w:before="0" w:line="250" w:lineRule="exact"/>
            </w:pPr>
            <w:r>
              <w:rPr>
                <w:rFonts w:ascii="Arial" w:hAnsi="Arial"/>
                <w:b/>
                <w:sz w:val="20"/>
              </w:rPr>
              <w:t>BEAR HKD 262.39</w:t>
            </w:r>
          </w:p>
          <w:p>
            <w:pPr>
              <w:widowControl w:val="0"/>
              <w:spacing w:after="180" w:before="0" w:line="220" w:lineRule="exact"/>
            </w:pPr>
            <w:r>
              <w:rPr>
                <w:rFonts w:ascii="Arial" w:hAnsi="Arial"/>
                <w:b w:val="0"/>
                <w:sz w:val="17"/>
              </w:rPr>
              <w:t>DCF / close -37.7%</w:t>
            </w:r>
          </w:p>
          <w:p>
            <w:pPr>
              <w:widowControl w:val="0"/>
              <w:spacing w:after="180" w:before="0" w:line="240" w:lineRule="exact"/>
            </w:pPr>
            <w:r>
              <w:rPr>
                <w:rFonts w:ascii="Arial" w:hAnsi="Arial"/>
                <w:b w:val="0"/>
                <w:sz w:val="18"/>
              </w:rPr>
              <w:t>Growth is base minus 5 points; margin minus 3 points, capex ratio plus 0.5 point and NWC ratio plus 2 points.</w:t>
            </w:r>
          </w:p>
          <w:p>
            <w:pPr>
              <w:widowControl w:val="0"/>
              <w:spacing w:after="180" w:before="0" w:line="220" w:lineRule="exact"/>
            </w:pPr>
            <w:r>
              <w:rPr>
                <w:rFonts w:ascii="Arial" w:hAnsi="Arial"/>
                <w:b w:val="0"/>
                <w:sz w:val="16"/>
              </w:rPr>
              <w:t>2030E revenue 917,354.3m; EBIT margin 30.1%. Stable margin 30.1%.</w:t>
            </w:r>
          </w:p>
        </w:tc>
      </w:tr>
    </w:tbl>
    <w:p>
      <w:pPr>
        <w:widowControl w:val="0"/>
        <w:spacing w:after="140" w:before="0" w:line="164" w:lineRule="exact"/>
      </w:pPr>
      <w:r>
        <w:rPr>
          <w:rFonts w:ascii="Arial" w:hAnsi="Arial"/>
          <w:b w:val="0"/>
          <w:color w:val="666666"/>
          <w:sz w:val="14"/>
        </w:rPr>
        <w:t xml:space="preserve">Sources: frozen public financial feeds and matched SEC tags where available. Secondary fields require filing review. Amounts are reporting-currency millions unless stated. </w:t>
      </w:r>
    </w:p>
    <w:p>
      <w:pPr>
        <w:spacing w:after="0" w:before="0" w:line="20" w:lineRule="exact"/>
        <w:sectPr>
          <w:footerReference w:type="default" r:id="rId22"/>
          <w:pgSz w:w="12240" w:h="15840"/>
          <w:pgMar w:top="60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DCF calculation detail | CNY million</w:t>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880"/>
        <w:gridCol w:w="1113"/>
        <w:gridCol w:w="1113"/>
        <w:gridCol w:w="1113"/>
        <w:gridCol w:w="1113"/>
        <w:gridCol w:w="1113"/>
        <w:gridCol w:w="1113"/>
        <w:gridCol w:w="1113"/>
        <w:gridCol w:w="1113"/>
        <w:gridCol w:w="1113"/>
        <w:gridCol w:w="1113"/>
        <w:gridCol w:w="1113"/>
        <w:gridCol w:w="1113"/>
      </w:tblGrid>
      <w:tr>
        <w:trPr>
          <w:cantSplit/>
          <w:tblHeader/>
        </w:trPr>
        <w:tc>
          <w:tcPr>
            <w:tcW w:type="dxa" w:w="880"/>
            <w:tcMar>
              <w:top w:w="0" w:type="dxa"/>
              <w:bottom w:w="0" w:type="dxa"/>
              <w:left w:w="15" w:type="dxa"/>
              <w:right w:w="15" w:type="dxa"/>
            </w:tcMar>
            <w:shd w:fill="082C4A"/>
          </w:tcPr>
          <w:p>
            <w:pPr>
              <w:widowControl w:val="0"/>
              <w:spacing w:after="0" w:before="0" w:line="280" w:lineRule="exact"/>
              <w:jc w:val="left"/>
            </w:pPr>
            <w:r>
              <w:rPr>
                <w:rFonts w:ascii="Arial Narrow" w:hAnsi="Arial Narrow"/>
                <w:b/>
                <w:color w:val="FFFFFF"/>
                <w:sz w:val="14"/>
              </w:rPr>
              <w:t>Case</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Year</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Revenue</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EBIT</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NOPAT</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D&amp;A</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Capex</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Change NWC</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Annual FCFF</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Fraction</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FCFF</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DF</w:t>
            </w:r>
          </w:p>
        </w:tc>
        <w:tc>
          <w:tcPr>
            <w:tcW w:type="dxa" w:w="1113"/>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PV</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BULL</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2026E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893,546.1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313,554.4</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259,893.1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78,480.6</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134,169.9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-22,263.0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226,466.8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0.2438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55,220.7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0.97703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53,952.1</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BULL</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2027E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1,040,871.1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365,252.2</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302,743.5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91,420.3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156,291.4</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-15,322.0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253,194.3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253,194.3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0.88821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224,889.0</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BULL</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2028E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1,187,798.0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416,810.4</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345,478.0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104,324.9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178,353.1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-15,280.6</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286,730.4</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286,730.4</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0.80725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231,463.2</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BULL</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2029E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1,327,291.1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465,759.9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386,050.4</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116,576.7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199,298.7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-14,507.5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317,835.9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317,835.9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0.73386</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233,248.3</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BULL</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2030E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1,451,683.8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509,410.6</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422,230.8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127,502.1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217,976.8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-12,937.0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344,693.2</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344,693.2</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0.66715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229,961.7</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BASE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2026E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855,957.8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283,245.1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234,771.0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75,179.2</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128,525.9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-9,794.2</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191,218.5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0.2438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46,625.9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0.97703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45,554.8</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BASE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2027E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954,287.5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315,783.4</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261,740.7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83,815.6</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143,290.5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-9,243.1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211,508.9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211,508.9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0.88821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187,863.7</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BASE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2028E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1,041,278.1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344,569.5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285,600.4</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91,456.0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156,352.5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-8,177.2</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228,881.1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228,881.1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0.80725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184,764.3</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BASE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2029E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1,111,500.2</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367,806.7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304,860.8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97,623.6</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166,896.7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-6,601.0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242,188.7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242,188.7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0.73386</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177,733.6</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BASE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2030E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1,160,094.1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383,886.9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318,189.1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101,891.7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174,193.3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-4,567.9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250,455.3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250,455.3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0.66715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167,091.0</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BEAR</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2026E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818,369.5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246,255.7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204,111.8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71,877.8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126,973.7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10,106.6</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138,909.4</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0.2438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33,871.1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0.97703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33,093.0</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BEAR</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2027E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871,462.7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262,232.0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217,354.0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76,541.0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135,211.3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-3,929.0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162,612.7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162,612.7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0.88821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144,433.7</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BEAR</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2028E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907,330.0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273,024.8</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226,299.7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79,691.3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140,776.3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-2,654.2</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167,869.0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167,869.0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0.80725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135,512.3</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BEAR</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2029E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923,152.4</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277,785.9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230,246.0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81,081.0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143,231.2</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-1,170.9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169,266.7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169,266.7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0.73386</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124,218.7</w:t>
            </w:r>
          </w:p>
        </w:tc>
      </w:tr>
      <w:tr>
        <w:trPr>
          <w:cantSplit/>
        </w:trPr>
        <w:tc>
          <w:tcPr>
            <w:tcW w:type="dxa" w:w="8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BEAR</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2030E</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917,354.3</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276,041.2</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228,799.9</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80,571.7</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142,331.6</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429.1</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166,611.0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1.0000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166,611.0</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0.66715</w:t>
            </w:r>
          </w:p>
        </w:tc>
        <w:tc>
          <w:tcPr>
            <w:tcW w:type="dxa" w:w="1113"/>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111,154.3</w:t>
            </w:r>
          </w:p>
        </w:tc>
      </w:tr>
    </w:tbl>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4800"/>
        <w:gridCol w:w="3147"/>
        <w:gridCol w:w="3147"/>
        <w:gridCol w:w="3147"/>
      </w:tblGrid>
      <w:tr>
        <w:trPr>
          <w:cantSplit/>
          <w:tblHeader/>
        </w:trPr>
        <w:tc>
          <w:tcPr>
            <w:tcW w:type="dxa" w:w="4800"/>
            <w:tcMar>
              <w:top w:w="0" w:type="dxa"/>
              <w:bottom w:w="0" w:type="dxa"/>
              <w:left w:w="15" w:type="dxa"/>
              <w:right w:w="15" w:type="dxa"/>
            </w:tcMar>
            <w:shd w:fill="082C4A"/>
          </w:tcPr>
          <w:p>
            <w:pPr>
              <w:widowControl w:val="0"/>
              <w:spacing w:after="0" w:before="0" w:line="280" w:lineRule="exact"/>
              <w:jc w:val="left"/>
            </w:pPr>
            <w:r>
              <w:rPr>
                <w:rFonts w:ascii="Arial" w:hAnsi="Arial"/>
                <w:b/>
                <w:color w:val="FFFFFF"/>
                <w:sz w:val="16"/>
              </w:rPr>
              <w:t>Terminal / value</w:t>
            </w:r>
          </w:p>
        </w:tc>
        <w:tc>
          <w:tcPr>
            <w:tcW w:type="dxa" w:w="3147"/>
            <w:tcMar>
              <w:top w:w="0" w:type="dxa"/>
              <w:bottom w:w="0" w:type="dxa"/>
              <w:left w:w="15" w:type="dxa"/>
              <w:right w:w="15" w:type="dxa"/>
            </w:tcMar>
            <w:noWrap/>
            <w:shd w:fill="082C4A"/>
          </w:tcPr>
          <w:p>
            <w:pPr>
              <w:widowControl w:val="0"/>
              <w:spacing w:after="0" w:before="0" w:line="280" w:lineRule="exact"/>
              <w:jc w:val="right"/>
            </w:pPr>
            <w:r>
              <w:rPr>
                <w:rFonts w:ascii="Arial" w:hAnsi="Arial"/>
                <w:b/>
                <w:color w:val="FFFFFF"/>
                <w:sz w:val="16"/>
              </w:rPr>
              <w:t>Bull</w:t>
            </w:r>
          </w:p>
        </w:tc>
        <w:tc>
          <w:tcPr>
            <w:tcW w:type="dxa" w:w="3147"/>
            <w:tcMar>
              <w:top w:w="0" w:type="dxa"/>
              <w:bottom w:w="0" w:type="dxa"/>
              <w:left w:w="15" w:type="dxa"/>
              <w:right w:w="15" w:type="dxa"/>
            </w:tcMar>
            <w:noWrap/>
            <w:shd w:fill="082C4A"/>
          </w:tcPr>
          <w:p>
            <w:pPr>
              <w:widowControl w:val="0"/>
              <w:spacing w:after="0" w:before="0" w:line="280" w:lineRule="exact"/>
              <w:jc w:val="right"/>
            </w:pPr>
            <w:r>
              <w:rPr>
                <w:rFonts w:ascii="Arial" w:hAnsi="Arial"/>
                <w:b/>
                <w:color w:val="FFFFFF"/>
                <w:sz w:val="16"/>
              </w:rPr>
              <w:t>Base</w:t>
            </w:r>
          </w:p>
        </w:tc>
        <w:tc>
          <w:tcPr>
            <w:tcW w:type="dxa" w:w="3147"/>
            <w:tcMar>
              <w:top w:w="0" w:type="dxa"/>
              <w:bottom w:w="0" w:type="dxa"/>
              <w:left w:w="15" w:type="dxa"/>
              <w:right w:w="15" w:type="dxa"/>
            </w:tcMar>
            <w:noWrap/>
            <w:shd w:fill="082C4A"/>
          </w:tcPr>
          <w:p>
            <w:pPr>
              <w:widowControl w:val="0"/>
              <w:spacing w:after="0" w:before="0" w:line="280" w:lineRule="exact"/>
              <w:jc w:val="right"/>
            </w:pPr>
            <w:r>
              <w:rPr>
                <w:rFonts w:ascii="Arial" w:hAnsi="Arial"/>
                <w:b/>
                <w:color w:val="FFFFFF"/>
                <w:sz w:val="16"/>
              </w:rPr>
              <w:t>Bear</w:t>
            </w:r>
          </w:p>
        </w:tc>
      </w:tr>
      <w:tr>
        <w:trPr>
          <w:cantSplit/>
        </w:trPr>
        <w:tc>
          <w:tcPr>
            <w:tcW w:type="dxa" w:w="4800"/>
            <w:tcMar>
              <w:top w:w="0" w:type="dxa"/>
              <w:bottom w:w="0" w:type="dxa"/>
              <w:left w:w="15" w:type="dxa"/>
              <w:right w:w="15" w:type="dxa"/>
            </w:tcMar>
          </w:tcPr>
          <w:p>
            <w:pPr>
              <w:widowControl w:val="0"/>
              <w:spacing w:after="0" w:before="0" w:line="280" w:lineRule="exact"/>
              <w:jc w:val="left"/>
            </w:pPr>
            <w:r>
              <w:rPr>
                <w:rFonts w:ascii="Arial" w:hAnsi="Arial"/>
                <w:b w:val="0"/>
                <w:sz w:val="16"/>
              </w:rPr>
              <w:t>Stable FCFF</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358,896.2</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270,460.7</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194,479.9</w:t>
            </w:r>
          </w:p>
        </w:tc>
      </w:tr>
      <w:tr>
        <w:trPr>
          <w:cantSplit/>
        </w:trPr>
        <w:tc>
          <w:tcPr>
            <w:tcW w:type="dxa" w:w="4800"/>
            <w:tcMar>
              <w:top w:w="0" w:type="dxa"/>
              <w:bottom w:w="0" w:type="dxa"/>
              <w:left w:w="15" w:type="dxa"/>
              <w:right w:w="15" w:type="dxa"/>
            </w:tcMar>
          </w:tcPr>
          <w:p>
            <w:pPr>
              <w:widowControl w:val="0"/>
              <w:spacing w:after="0" w:before="0" w:line="280" w:lineRule="exact"/>
              <w:jc w:val="left"/>
            </w:pPr>
            <w:r>
              <w:rPr>
                <w:rFonts w:ascii="Arial" w:hAnsi="Arial"/>
                <w:b w:val="0"/>
                <w:sz w:val="16"/>
              </w:rPr>
              <w:t>Terminal value</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4,486,202.0</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3,380,758.7</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2,430,999.1</w:t>
            </w:r>
          </w:p>
        </w:tc>
      </w:tr>
      <w:tr>
        <w:trPr>
          <w:cantSplit/>
        </w:trPr>
        <w:tc>
          <w:tcPr>
            <w:tcW w:type="dxa" w:w="4800"/>
            <w:tcMar>
              <w:top w:w="0" w:type="dxa"/>
              <w:bottom w:w="0" w:type="dxa"/>
              <w:left w:w="15" w:type="dxa"/>
              <w:right w:w="15" w:type="dxa"/>
            </w:tcMar>
          </w:tcPr>
          <w:p>
            <w:pPr>
              <w:widowControl w:val="0"/>
              <w:spacing w:after="0" w:before="0" w:line="280" w:lineRule="exact"/>
              <w:jc w:val="left"/>
            </w:pPr>
            <w:r>
              <w:rPr>
                <w:rFonts w:ascii="Arial" w:hAnsi="Arial"/>
                <w:b w:val="0"/>
                <w:sz w:val="16"/>
              </w:rPr>
              <w:t>PV of terminal</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2,992,965.2</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2,255,469.8</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1,621,838.6</w:t>
            </w:r>
          </w:p>
        </w:tc>
      </w:tr>
      <w:tr>
        <w:trPr>
          <w:cantSplit/>
        </w:trPr>
        <w:tc>
          <w:tcPr>
            <w:tcW w:type="dxa" w:w="4800"/>
            <w:tcMar>
              <w:top w:w="0" w:type="dxa"/>
              <w:bottom w:w="0" w:type="dxa"/>
              <w:left w:w="15" w:type="dxa"/>
              <w:right w:w="15" w:type="dxa"/>
            </w:tcMar>
          </w:tcPr>
          <w:p>
            <w:pPr>
              <w:widowControl w:val="0"/>
              <w:spacing w:after="0" w:before="0" w:line="280" w:lineRule="exact"/>
              <w:jc w:val="left"/>
            </w:pPr>
            <w:r>
              <w:rPr>
                <w:rFonts w:ascii="Arial" w:hAnsi="Arial"/>
                <w:b w:val="0"/>
                <w:sz w:val="16"/>
              </w:rPr>
              <w:t>PV of explicit</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973,514.4</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763,007.4</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548,412.0</w:t>
            </w:r>
          </w:p>
        </w:tc>
      </w:tr>
      <w:tr>
        <w:trPr>
          <w:cantSplit/>
        </w:trPr>
        <w:tc>
          <w:tcPr>
            <w:tcW w:type="dxa" w:w="4800"/>
            <w:tcMar>
              <w:top w:w="0" w:type="dxa"/>
              <w:bottom w:w="0" w:type="dxa"/>
              <w:left w:w="15" w:type="dxa"/>
              <w:right w:w="15" w:type="dxa"/>
            </w:tcMar>
          </w:tcPr>
          <w:p>
            <w:pPr>
              <w:widowControl w:val="0"/>
              <w:spacing w:after="0" w:before="0" w:line="280" w:lineRule="exact"/>
              <w:jc w:val="left"/>
            </w:pPr>
            <w:r>
              <w:rPr>
                <w:rFonts w:ascii="Arial" w:hAnsi="Arial"/>
                <w:b w:val="0"/>
                <w:sz w:val="16"/>
              </w:rPr>
              <w:t>Operating EV</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3,966,479.6</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3,018,477.2</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2,170,250.7</w:t>
            </w:r>
          </w:p>
        </w:tc>
      </w:tr>
      <w:tr>
        <w:trPr>
          <w:cantSplit/>
        </w:trPr>
        <w:tc>
          <w:tcPr>
            <w:tcW w:type="dxa" w:w="4800"/>
            <w:tcMar>
              <w:top w:w="0" w:type="dxa"/>
              <w:bottom w:w="0" w:type="dxa"/>
              <w:left w:w="15" w:type="dxa"/>
              <w:right w:w="15" w:type="dxa"/>
            </w:tcMar>
          </w:tcPr>
          <w:p>
            <w:pPr>
              <w:widowControl w:val="0"/>
              <w:spacing w:after="0" w:before="0" w:line="280" w:lineRule="exact"/>
              <w:jc w:val="left"/>
            </w:pPr>
            <w:r>
              <w:rPr>
                <w:rFonts w:ascii="Arial" w:hAnsi="Arial"/>
                <w:b w:val="0"/>
                <w:sz w:val="16"/>
              </w:rPr>
              <w:t>Equity value</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3,824,744.0</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2,876,741.6</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2,028,515.1</w:t>
            </w:r>
          </w:p>
        </w:tc>
      </w:tr>
      <w:tr>
        <w:trPr>
          <w:cantSplit/>
        </w:trPr>
        <w:tc>
          <w:tcPr>
            <w:tcW w:type="dxa" w:w="4800"/>
            <w:tcMar>
              <w:top w:w="0" w:type="dxa"/>
              <w:bottom w:w="0" w:type="dxa"/>
              <w:left w:w="15" w:type="dxa"/>
              <w:right w:w="15" w:type="dxa"/>
            </w:tcMar>
          </w:tcPr>
          <w:p>
            <w:pPr>
              <w:widowControl w:val="0"/>
              <w:spacing w:after="0" w:before="0" w:line="280" w:lineRule="exact"/>
              <w:jc w:val="left"/>
            </w:pPr>
            <w:r>
              <w:rPr>
                <w:rFonts w:ascii="Arial" w:hAnsi="Arial"/>
                <w:b w:val="0"/>
                <w:sz w:val="16"/>
              </w:rPr>
              <w:t>HKD / share</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494.73</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372.11</w:t>
            </w:r>
          </w:p>
        </w:tc>
        <w:tc>
          <w:tcPr>
            <w:tcW w:type="dxa" w:w="3147"/>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262.39</w:t>
            </w:r>
          </w:p>
        </w:tc>
      </w:tr>
    </w:tbl>
    <w:p>
      <w:pPr>
        <w:widowControl w:val="0"/>
        <w:spacing w:after="180" w:before="0" w:line="220" w:lineRule="exact"/>
      </w:pPr>
      <w:r>
        <w:rPr>
          <w:rFonts w:ascii="Arial" w:hAnsi="Arial"/>
          <w:b w:val="0"/>
          <w:sz w:val="16"/>
        </w:rPr>
        <w:t>Annual FCFF = NOPAT + D&amp;A - capex - change in trade NWC. The first fraction and actual/365 discount factor are shown explicitly. Stable FCFF = normalized NOPAT x (1 - growth / ROIC). Amounts stay in CNY; only per-share outputs are translated.</w:t>
      </w:r>
    </w:p>
    <w:p>
      <w:pPr>
        <w:spacing w:after="0" w:before="0" w:line="20" w:lineRule="exact"/>
        <w:sectPr>
          <w:footerReference w:type="default" r:id="rId25"/>
          <w:pgSz w:w="15840" w:h="12240" w:orient="landscape"/>
          <w:pgMar w:top="88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Equity bridge and sensitivity</w:t>
      </w:r>
    </w:p>
    <w:tbl>
      <w:tblPr>
        <w:tblW w:type="auto" w:w="0"/>
        <w:tblLayout w:type="fixed"/>
        <w:tblLook w:firstColumn="1" w:firstRow="1" w:lastColumn="0" w:lastRow="0" w:noHBand="0" w:noVBand="1" w:val="04A0"/>
      </w:tblPr>
      <w:tblGrid>
        <w:gridCol w:w="6660"/>
        <w:gridCol w:w="3980"/>
      </w:tblGrid>
      <w:tr>
        <w:tc>
          <w:tcPr>
            <w:tcW w:type="dxa" w:w="6660"/>
            <w:tcMar>
              <w:top w:w="0" w:type="dxa"/>
              <w:bottom w:w="0" w:type="dxa"/>
              <w:left w:w="0" w:type="dxa"/>
              <w:right w:w="160" w:type="dxa"/>
            </w:tcMar>
            <w:tcBorders>
              <w:right w:val="single" w:sz="3" w:color="8F969C"/>
            </w:tcBorders>
          </w:tcPr>
          <w:p>
            <w:pPr>
              <w:spacing w:after="0" w:line="20" w:lineRule="exact"/>
            </w:pPr>
            <w:r>
              <w:rPr>
                <w:sz w:val="2"/>
              </w:rPr>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4200"/>
              <w:gridCol w:w="2300"/>
            </w:tblGrid>
            <w:tr>
              <w:trPr>
                <w:cantSplit/>
                <w:tblHeader/>
              </w:trPr>
              <w:tc>
                <w:tcPr>
                  <w:tcW w:type="dxa" w:w="4200"/>
                  <w:tcMar>
                    <w:top w:w="0" w:type="dxa"/>
                    <w:bottom w:w="0" w:type="dxa"/>
                    <w:left w:w="15" w:type="dxa"/>
                    <w:right w:w="15" w:type="dxa"/>
                  </w:tcMar>
                  <w:shd w:fill="082C4A"/>
                </w:tcPr>
                <w:p>
                  <w:pPr>
                    <w:widowControl w:val="0"/>
                    <w:spacing w:after="0" w:before="0" w:line="260" w:lineRule="exact"/>
                    <w:jc w:val="left"/>
                  </w:pPr>
                  <w:r>
                    <w:rPr>
                      <w:rFonts w:ascii="Arial" w:hAnsi="Arial"/>
                      <w:b/>
                      <w:color w:val="FFFFFF"/>
                      <w:sz w:val="16"/>
                    </w:rPr>
                    <w:t>Base bridge | CNY mm</w:t>
                  </w:r>
                </w:p>
              </w:tc>
              <w:tc>
                <w:tcPr>
                  <w:tcW w:type="dxa" w:w="2300"/>
                  <w:tcMar>
                    <w:top w:w="0" w:type="dxa"/>
                    <w:bottom w:w="0" w:type="dxa"/>
                    <w:left w:w="15" w:type="dxa"/>
                    <w:right w:w="15" w:type="dxa"/>
                  </w:tcMar>
                  <w:noWrap/>
                  <w:shd w:fill="082C4A"/>
                </w:tcPr>
                <w:p>
                  <w:pPr>
                    <w:widowControl w:val="0"/>
                    <w:spacing w:after="0" w:before="0" w:line="260" w:lineRule="exact"/>
                    <w:jc w:val="right"/>
                  </w:pPr>
                  <w:r>
                    <w:rPr>
                      <w:rFonts w:ascii="Arial" w:hAnsi="Arial"/>
                      <w:b/>
                      <w:color w:val="FFFFFF"/>
                      <w:sz w:val="16"/>
                    </w:rPr>
                    <w:t>Amount</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Operating EV</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3,018,477.2</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Cash</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141,041.0</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Investments</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285,712.0</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Operating Cash Reserve</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75,176.6</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Debt</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406,399.0</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Other Senior Claims</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0.0</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Nci</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86,913.0</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Non Operating Assets</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0.0</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Shares</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9,032.821385</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Equity value</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2,876,741.6</w:t>
                  </w:r>
                </w:p>
              </w:tc>
            </w:tr>
            <w:tr>
              <w:trPr>
                <w:cantSplit/>
              </w:trPr>
              <w:tc>
                <w:tcPr>
                  <w:tcW w:type="dxa" w:w="4200"/>
                  <w:tcMar>
                    <w:top w:w="0" w:type="dxa"/>
                    <w:bottom w:w="0" w:type="dxa"/>
                    <w:left w:w="15" w:type="dxa"/>
                    <w:right w:w="15" w:type="dxa"/>
                  </w:tcMar>
                </w:tcPr>
                <w:p>
                  <w:pPr>
                    <w:widowControl w:val="0"/>
                    <w:spacing w:after="0" w:before="0" w:line="260" w:lineRule="exact"/>
                    <w:jc w:val="left"/>
                  </w:pPr>
                  <w:r>
                    <w:rPr>
                      <w:rFonts w:ascii="Arial" w:hAnsi="Arial"/>
                      <w:b w:val="0"/>
                      <w:sz w:val="16"/>
                    </w:rPr>
                    <w:t>HKD / share</w:t>
                  </w:r>
                </w:p>
              </w:tc>
              <w:tc>
                <w:tcPr>
                  <w:tcW w:type="dxa" w:w="2300"/>
                  <w:tcMar>
                    <w:top w:w="0" w:type="dxa"/>
                    <w:bottom w:w="0" w:type="dxa"/>
                    <w:left w:w="15" w:type="dxa"/>
                    <w:right w:w="15" w:type="dxa"/>
                  </w:tcMar>
                  <w:noWrap/>
                </w:tcPr>
                <w:p>
                  <w:pPr>
                    <w:widowControl w:val="0"/>
                    <w:spacing w:after="0" w:before="0" w:line="260" w:lineRule="exact"/>
                    <w:jc w:val="right"/>
                  </w:pPr>
                  <w:r>
                    <w:rPr>
                      <w:rFonts w:ascii="Arial" w:hAnsi="Arial"/>
                      <w:b w:val="0"/>
                      <w:color w:val="082C4A"/>
                      <w:sz w:val="16"/>
                    </w:rPr>
                    <w:t>372.11</w:t>
                  </w:r>
                </w:p>
              </w:tc>
            </w:tr>
          </w:tbl>
          <w:p/>
        </w:tc>
        <w:tc>
          <w:tcPr>
            <w:tcW w:type="dxa" w:w="3980"/>
            <w:tcMar>
              <w:top w:w="0" w:type="dxa"/>
              <w:bottom w:w="0" w:type="dxa"/>
              <w:left w:w="180" w:type="dxa"/>
              <w:right w:w="0" w:type="dxa"/>
            </w:tcMar>
          </w:tcPr>
          <w:p>
            <w:pPr>
              <w:spacing w:after="0" w:line="20" w:lineRule="exact"/>
            </w:pPr>
            <w:r>
              <w:rPr>
                <w:sz w:val="2"/>
              </w:rPr>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780"/>
              <w:gridCol w:w="592"/>
              <w:gridCol w:w="592"/>
              <w:gridCol w:w="592"/>
              <w:gridCol w:w="592"/>
              <w:gridCol w:w="592"/>
            </w:tblGrid>
            <w:tr>
              <w:trPr>
                <w:cantSplit/>
                <w:tblHeader/>
              </w:trPr>
              <w:tc>
                <w:tcPr>
                  <w:tcW w:type="dxa" w:w="780"/>
                  <w:tcMar>
                    <w:top w:w="0" w:type="dxa"/>
                    <w:bottom w:w="0" w:type="dxa"/>
                    <w:left w:w="15" w:type="dxa"/>
                    <w:right w:w="15" w:type="dxa"/>
                  </w:tcMar>
                  <w:shd w:fill="082C4A"/>
                </w:tcPr>
                <w:p>
                  <w:pPr>
                    <w:widowControl w:val="0"/>
                    <w:spacing w:after="0" w:before="0" w:line="280" w:lineRule="exact"/>
                    <w:jc w:val="left"/>
                  </w:pPr>
                  <w:r>
                    <w:rPr>
                      <w:rFonts w:ascii="Arial Narrow" w:hAnsi="Arial Narrow"/>
                      <w:b/>
                      <w:color w:val="FFFFFF"/>
                      <w:sz w:val="14"/>
                    </w:rPr>
                    <w:t>WACC / g</w:t>
                  </w:r>
                </w:p>
              </w:tc>
              <w:tc>
                <w:tcPr>
                  <w:tcW w:type="dxa" w:w="592"/>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1.0%</w:t>
                  </w:r>
                </w:p>
              </w:tc>
              <w:tc>
                <w:tcPr>
                  <w:tcW w:type="dxa" w:w="592"/>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1.5%</w:t>
                  </w:r>
                </w:p>
              </w:tc>
              <w:tc>
                <w:tcPr>
                  <w:tcW w:type="dxa" w:w="592"/>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2.0%</w:t>
                  </w:r>
                </w:p>
              </w:tc>
              <w:tc>
                <w:tcPr>
                  <w:tcW w:type="dxa" w:w="592"/>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2.5%</w:t>
                  </w:r>
                </w:p>
              </w:tc>
              <w:tc>
                <w:tcPr>
                  <w:tcW w:type="dxa" w:w="592"/>
                  <w:tcMar>
                    <w:top w:w="0" w:type="dxa"/>
                    <w:bottom w:w="0" w:type="dxa"/>
                    <w:left w:w="15" w:type="dxa"/>
                    <w:right w:w="15" w:type="dxa"/>
                  </w:tcMar>
                  <w:noWrap/>
                  <w:shd w:fill="082C4A"/>
                </w:tcPr>
                <w:p>
                  <w:pPr>
                    <w:widowControl w:val="0"/>
                    <w:spacing w:after="0" w:before="0" w:line="280" w:lineRule="exact"/>
                    <w:jc w:val="right"/>
                  </w:pPr>
                  <w:r>
                    <w:rPr>
                      <w:rFonts w:ascii="Arial Narrow" w:hAnsi="Arial Narrow"/>
                      <w:b/>
                      <w:color w:val="FFFFFF"/>
                      <w:sz w:val="14"/>
                    </w:rPr>
                    <w:t>3.0%</w:t>
                  </w:r>
                </w:p>
              </w:tc>
            </w:tr>
            <w:tr>
              <w:trPr>
                <w:cantSplit/>
              </w:trPr>
              <w:tc>
                <w:tcPr>
                  <w:tcW w:type="dxa" w:w="7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9.0%</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413.03</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420.71</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429.30</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439.04</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450.20</w:t>
                  </w:r>
                </w:p>
              </w:tc>
            </w:tr>
            <w:tr>
              <w:trPr>
                <w:cantSplit/>
              </w:trPr>
              <w:tc>
                <w:tcPr>
                  <w:tcW w:type="dxa" w:w="7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9.5%</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386.44</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392.30</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398.79</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406.04</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414.23</w:t>
                  </w:r>
                </w:p>
              </w:tc>
            </w:tr>
            <w:tr>
              <w:trPr>
                <w:cantSplit/>
              </w:trPr>
              <w:tc>
                <w:tcPr>
                  <w:tcW w:type="dxa" w:w="7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10.0%</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362.83</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367.26</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372.11</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377.45</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383.39</w:t>
                  </w:r>
                </w:p>
              </w:tc>
            </w:tr>
            <w:tr>
              <w:trPr>
                <w:cantSplit/>
              </w:trPr>
              <w:tc>
                <w:tcPr>
                  <w:tcW w:type="dxa" w:w="7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10.5%</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341.72</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345.02</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348.58</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352.43</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356.66</w:t>
                  </w:r>
                </w:p>
              </w:tc>
            </w:tr>
            <w:tr>
              <w:trPr>
                <w:cantSplit/>
              </w:trPr>
              <w:tc>
                <w:tcPr>
                  <w:tcW w:type="dxa" w:w="780"/>
                  <w:tcMar>
                    <w:top w:w="0" w:type="dxa"/>
                    <w:bottom w:w="0" w:type="dxa"/>
                    <w:left w:w="15" w:type="dxa"/>
                    <w:right w:w="15" w:type="dxa"/>
                  </w:tcMar>
                </w:tcPr>
                <w:p>
                  <w:pPr>
                    <w:widowControl w:val="0"/>
                    <w:spacing w:after="0" w:before="0" w:line="280" w:lineRule="exact"/>
                    <w:jc w:val="left"/>
                  </w:pPr>
                  <w:r>
                    <w:rPr>
                      <w:rFonts w:ascii="Arial Narrow" w:hAnsi="Arial Narrow"/>
                      <w:b w:val="0"/>
                      <w:sz w:val="14"/>
                    </w:rPr>
                    <w:t>11.0%</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322.75</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325.14</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327.67</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330.37</w:t>
                  </w:r>
                </w:p>
              </w:tc>
              <w:tc>
                <w:tcPr>
                  <w:tcW w:type="dxa" w:w="592"/>
                  <w:tcMar>
                    <w:top w:w="0" w:type="dxa"/>
                    <w:bottom w:w="0" w:type="dxa"/>
                    <w:left w:w="15" w:type="dxa"/>
                    <w:right w:w="15" w:type="dxa"/>
                  </w:tcMar>
                  <w:noWrap/>
                </w:tcPr>
                <w:p>
                  <w:pPr>
                    <w:widowControl w:val="0"/>
                    <w:spacing w:after="0" w:before="0" w:line="280" w:lineRule="exact"/>
                    <w:jc w:val="right"/>
                  </w:pPr>
                  <w:r>
                    <w:rPr>
                      <w:rFonts w:ascii="Arial Narrow" w:hAnsi="Arial Narrow"/>
                      <w:b w:val="0"/>
                      <w:color w:val="082C4A"/>
                      <w:sz w:val="14"/>
                    </w:rPr>
                    <w:t>333.26</w:t>
                  </w:r>
                </w:p>
              </w:tc>
            </w:tr>
          </w:tbl>
          <w:p/>
          <w:p>
            <w:pPr>
              <w:widowControl w:val="0"/>
              <w:spacing w:after="180" w:before="0" w:line="220" w:lineRule="exact"/>
            </w:pPr>
            <w:r>
              <w:rPr>
                <w:rFonts w:ascii="Arial" w:hAnsi="Arial"/>
                <w:b w:val="0"/>
                <w:sz w:val="16"/>
              </w:rPr>
              <w:t>Sensitivity in HKD/share. Centre equals the base model. Other operating and bridge assumptions are held fixed.</w:t>
            </w:r>
          </w:p>
        </w:tc>
      </w:tr>
    </w:tbl>
    <w:p>
      <w:pPr>
        <w:widowControl w:val="0"/>
        <w:spacing w:after="180" w:before="0" w:line="240" w:lineRule="exact"/>
      </w:pPr>
      <w:r>
        <w:rPr>
          <w:rFonts w:ascii="Arial" w:hAnsi="Arial"/>
          <w:b w:val="0"/>
          <w:sz w:val="18"/>
        </w:rPr>
        <w:t>Reporting currency CNY; quoted currency HKD. Conversion uses 1.168400 HKD per CNY, dated 2026-10-02.</w:t>
      </w:r>
    </w:p>
    <w:p>
      <w:pPr>
        <w:widowControl w:val="0"/>
        <w:spacing w:after="180" w:before="0" w:line="240" w:lineRule="exact"/>
      </w:pPr>
      <w:r>
        <w:rPr>
          <w:rFonts w:ascii="Arial" w:hAnsi="Arial"/>
          <w:b w:val="0"/>
          <w:sz w:val="18"/>
        </w:rPr>
        <w:t>Cash and recognized short investments enter the bridge after the operating reserve. Debt, senior claims and NCI are deducted once; additional non-operating asset recognition is a separate explicit policy.</w:t>
      </w:r>
    </w:p>
    <w:p>
      <w:pPr>
        <w:widowControl w:val="0"/>
        <w:spacing w:after="180" w:before="0" w:line="240" w:lineRule="exact"/>
      </w:pPr>
      <w:r>
        <w:rPr>
          <w:rFonts w:ascii="Arial" w:hAnsi="Arial"/>
          <w:b w:val="0"/>
          <w:sz w:val="18"/>
        </w:rPr>
        <w:t>NCI is a book-value proxy. Annual cash, debt and shares are frozen unless overridden. Subsequent distributions, buybacks, financing, dilution and changes in investment fair value are not automatically bridged.</w:t>
      </w:r>
    </w:p>
    <w:p>
      <w:pPr>
        <w:widowControl w:val="0"/>
        <w:spacing w:after="140" w:before="0" w:line="164" w:lineRule="exact"/>
      </w:pPr>
      <w:r>
        <w:rPr>
          <w:rFonts w:ascii="Arial" w:hAnsi="Arial"/>
          <w:b w:val="0"/>
          <w:color w:val="666666"/>
          <w:sz w:val="14"/>
        </w:rPr>
        <w:t xml:space="preserve">Sources: frozen public financial feeds and matched SEC tags where available. Secondary fields require filing review. Amounts are reporting-currency millions unless stated. </w:t>
      </w:r>
    </w:p>
    <w:p>
      <w:pPr>
        <w:spacing w:after="0" w:before="0" w:line="20" w:lineRule="exact"/>
        <w:sectPr>
          <w:footerReference w:type="default" r:id="rId27"/>
          <w:pgSz w:w="12240" w:h="15840"/>
          <w:pgMar w:top="60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Historical financial appendix</w:t>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4100"/>
        <w:gridCol w:w="2535"/>
        <w:gridCol w:w="2535"/>
        <w:gridCol w:w="2535"/>
        <w:gridCol w:w="2535"/>
      </w:tblGrid>
      <w:tr>
        <w:trPr>
          <w:cantSplit/>
          <w:tblHeader/>
        </w:trPr>
        <w:tc>
          <w:tcPr>
            <w:tcW w:type="dxa" w:w="4100"/>
            <w:tcMar>
              <w:top w:w="0" w:type="dxa"/>
              <w:bottom w:w="0" w:type="dxa"/>
              <w:left w:w="15" w:type="dxa"/>
              <w:right w:w="15" w:type="dxa"/>
            </w:tcMar>
            <w:shd w:fill="082C4A"/>
          </w:tcPr>
          <w:p>
            <w:pPr>
              <w:widowControl w:val="0"/>
              <w:spacing w:after="0" w:before="0" w:line="380" w:lineRule="exact"/>
              <w:jc w:val="left"/>
            </w:pPr>
            <w:r>
              <w:rPr>
                <w:rFonts w:ascii="Arial" w:hAnsi="Arial"/>
                <w:b/>
                <w:color w:val="FFFFFF"/>
                <w:sz w:val="18"/>
              </w:rPr>
              <w:t>CNY million</w:t>
            </w:r>
          </w:p>
        </w:tc>
        <w:tc>
          <w:tcPr>
            <w:tcW w:type="dxa" w:w="2535"/>
            <w:tcMar>
              <w:top w:w="0" w:type="dxa"/>
              <w:bottom w:w="0" w:type="dxa"/>
              <w:left w:w="15" w:type="dxa"/>
              <w:right w:w="15" w:type="dxa"/>
            </w:tcMar>
            <w:noWrap/>
            <w:shd w:fill="082C4A"/>
          </w:tcPr>
          <w:p>
            <w:pPr>
              <w:widowControl w:val="0"/>
              <w:spacing w:after="0" w:before="0" w:line="380" w:lineRule="exact"/>
              <w:jc w:val="right"/>
            </w:pPr>
            <w:r>
              <w:rPr>
                <w:rFonts w:ascii="Arial" w:hAnsi="Arial"/>
                <w:b/>
                <w:color w:val="FFFFFF"/>
                <w:sz w:val="18"/>
              </w:rPr>
              <w:t>2022-12-31</w:t>
            </w:r>
          </w:p>
        </w:tc>
        <w:tc>
          <w:tcPr>
            <w:tcW w:type="dxa" w:w="2535"/>
            <w:tcMar>
              <w:top w:w="0" w:type="dxa"/>
              <w:bottom w:w="0" w:type="dxa"/>
              <w:left w:w="15" w:type="dxa"/>
              <w:right w:w="15" w:type="dxa"/>
            </w:tcMar>
            <w:noWrap/>
            <w:shd w:fill="082C4A"/>
          </w:tcPr>
          <w:p>
            <w:pPr>
              <w:widowControl w:val="0"/>
              <w:spacing w:after="0" w:before="0" w:line="380" w:lineRule="exact"/>
              <w:jc w:val="right"/>
            </w:pPr>
            <w:r>
              <w:rPr>
                <w:rFonts w:ascii="Arial" w:hAnsi="Arial"/>
                <w:b/>
                <w:color w:val="FFFFFF"/>
                <w:sz w:val="18"/>
              </w:rPr>
              <w:t>2023-12-31</w:t>
            </w:r>
          </w:p>
        </w:tc>
        <w:tc>
          <w:tcPr>
            <w:tcW w:type="dxa" w:w="2535"/>
            <w:tcMar>
              <w:top w:w="0" w:type="dxa"/>
              <w:bottom w:w="0" w:type="dxa"/>
              <w:left w:w="15" w:type="dxa"/>
              <w:right w:w="15" w:type="dxa"/>
            </w:tcMar>
            <w:noWrap/>
            <w:shd w:fill="082C4A"/>
          </w:tcPr>
          <w:p>
            <w:pPr>
              <w:widowControl w:val="0"/>
              <w:spacing w:after="0" w:before="0" w:line="380" w:lineRule="exact"/>
              <w:jc w:val="right"/>
            </w:pPr>
            <w:r>
              <w:rPr>
                <w:rFonts w:ascii="Arial" w:hAnsi="Arial"/>
                <w:b/>
                <w:color w:val="FFFFFF"/>
                <w:sz w:val="18"/>
              </w:rPr>
              <w:t>2024-12-31</w:t>
            </w:r>
          </w:p>
        </w:tc>
        <w:tc>
          <w:tcPr>
            <w:tcW w:type="dxa" w:w="2535"/>
            <w:tcMar>
              <w:top w:w="0" w:type="dxa"/>
              <w:bottom w:w="0" w:type="dxa"/>
              <w:left w:w="15" w:type="dxa"/>
              <w:right w:w="15" w:type="dxa"/>
            </w:tcMar>
            <w:noWrap/>
            <w:shd w:fill="082C4A"/>
          </w:tcPr>
          <w:p>
            <w:pPr>
              <w:widowControl w:val="0"/>
              <w:spacing w:after="0" w:before="0" w:line="380" w:lineRule="exact"/>
              <w:jc w:val="right"/>
            </w:pPr>
            <w:r>
              <w:rPr>
                <w:rFonts w:ascii="Arial" w:hAnsi="Arial"/>
                <w:b/>
                <w:color w:val="FFFFFF"/>
                <w:sz w:val="18"/>
              </w:rPr>
              <w:t>2025-12-31</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Revenue</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554,552.0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609,015.0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660,257.0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751,766.0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Reported operating EBIT</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113,940.0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165,658.0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208,786.0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248,767.0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Parent net income</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188,243.0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115,216.0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194,073.0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224,842.0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Cash from operations</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146,091.0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221,962.0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258,521.0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303,052.0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Capital expenditure</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50,850.0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47,407.0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96,048.0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112,881.0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Depreciation / amortization</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61,216.0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59,008.0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56,213.0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66,028.0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Total assets</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1,578,131.0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1,577,246.0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1,780,995.0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2,038,986.0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Parent equity</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721,391.0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808,591.0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973,548.0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1,154,152.0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Cash equivalents</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156,739.0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172,320.0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132,519.0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141,041.0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Recognized short investments</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134,017.0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206,835.0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210,640.0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285,712.0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Debt / leases</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359,141.0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371,240.0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358,112.0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406,399.0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NCI book balance</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61,469.0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65,090.0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80,348.0</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86,913.0</w:t>
            </w:r>
          </w:p>
        </w:tc>
      </w:tr>
      <w:tr>
        <w:trPr>
          <w:cantSplit/>
        </w:trPr>
        <w:tc>
          <w:tcPr>
            <w:tcW w:type="dxa" w:w="4100"/>
            <w:tcMar>
              <w:top w:w="0" w:type="dxa"/>
              <w:bottom w:w="0" w:type="dxa"/>
              <w:left w:w="15" w:type="dxa"/>
              <w:right w:w="15" w:type="dxa"/>
            </w:tcMar>
          </w:tcPr>
          <w:p>
            <w:pPr>
              <w:widowControl w:val="0"/>
              <w:spacing w:after="0" w:before="0" w:line="380" w:lineRule="exact"/>
              <w:jc w:val="left"/>
            </w:pPr>
            <w:r>
              <w:rPr>
                <w:rFonts w:ascii="Arial" w:hAnsi="Arial"/>
                <w:b w:val="0"/>
                <w:sz w:val="18"/>
              </w:rPr>
              <w:t>Ordinary shares million</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9,568.7</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9,391.2</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9,142.2</w:t>
            </w:r>
          </w:p>
        </w:tc>
        <w:tc>
          <w:tcPr>
            <w:tcW w:type="dxa" w:w="2535"/>
            <w:tcMar>
              <w:top w:w="0" w:type="dxa"/>
              <w:bottom w:w="0" w:type="dxa"/>
              <w:left w:w="15" w:type="dxa"/>
              <w:right w:w="15" w:type="dxa"/>
            </w:tcMar>
            <w:noWrap/>
          </w:tcPr>
          <w:p>
            <w:pPr>
              <w:widowControl w:val="0"/>
              <w:spacing w:after="0" w:before="0" w:line="380" w:lineRule="exact"/>
              <w:jc w:val="right"/>
            </w:pPr>
            <w:r>
              <w:rPr>
                <w:rFonts w:ascii="Arial" w:hAnsi="Arial"/>
                <w:b w:val="0"/>
                <w:color w:val="082C4A"/>
                <w:sz w:val="18"/>
              </w:rPr>
              <w:t>9,032.8</w:t>
            </w:r>
          </w:p>
        </w:tc>
      </w:tr>
    </w:tbl>
    <w:p>
      <w:pPr>
        <w:widowControl w:val="0"/>
        <w:spacing w:after="180" w:before="0" w:line="260" w:lineRule="exact"/>
      </w:pPr>
      <w:r>
        <w:rPr>
          <w:rFonts w:ascii="Arial" w:hAnsi="Arial"/>
          <w:b w:val="0"/>
          <w:sz w:val="18"/>
        </w:rPr>
        <w:t>Periods retain their fiscal dates and source definitions. Historical share units may retain pre-split observations and are not used to infer per-share growth. Unavailable fields are missing observations, not factual zero balances.</w:t>
      </w:r>
    </w:p>
    <w:p>
      <w:pPr>
        <w:widowControl w:val="0"/>
        <w:spacing w:after="140" w:before="0" w:line="164" w:lineRule="exact"/>
      </w:pPr>
      <w:r>
        <w:rPr>
          <w:rFonts w:ascii="Arial" w:hAnsi="Arial"/>
          <w:b w:val="0"/>
          <w:color w:val="666666"/>
          <w:sz w:val="14"/>
        </w:rPr>
        <w:t xml:space="preserve">Sources: frozen public financial feeds and matched SEC tags where available. Secondary fields require filing review. Amounts are reporting-currency millions unless stated. </w:t>
      </w:r>
    </w:p>
    <w:p>
      <w:pPr>
        <w:spacing w:after="0" w:before="0" w:line="20" w:lineRule="exact"/>
        <w:sectPr>
          <w:footerReference w:type="default" r:id="rId29"/>
          <w:pgSz w:w="15840" w:h="12240" w:orient="landscape"/>
          <w:pgMar w:top="88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Method evidence and limitations</w:t>
      </w:r>
    </w:p>
    <w:p>
      <w:pPr>
        <w:widowControl w:val="0"/>
        <w:spacing w:after="180" w:before="0" w:line="260" w:lineRule="exact"/>
      </w:pPr>
      <w:r>
        <w:rPr>
          <w:rFonts w:ascii="Arial" w:hAnsi="Arial"/>
          <w:b w:val="0"/>
          <w:sz w:val="19"/>
        </w:rPr>
        <w:t>FCFF discounts operating cash flows at WACC; financial claims enter the equity bridge. Terminal cash flow normalizes reinvestment using growth / stable ROIC. WACC must exceed perpetual growth. The chart compares scenario values with a dated close, not a future price path.</w:t>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1700"/>
        <w:gridCol w:w="4470"/>
        <w:gridCol w:w="4470"/>
      </w:tblGrid>
      <w:tr>
        <w:trPr>
          <w:cantSplit/>
          <w:tblHeader/>
        </w:trPr>
        <w:tc>
          <w:tcPr>
            <w:tcW w:type="dxa" w:w="1700"/>
            <w:tcMar>
              <w:top w:w="0" w:type="dxa"/>
              <w:bottom w:w="0" w:type="dxa"/>
              <w:left w:w="15" w:type="dxa"/>
              <w:right w:w="15" w:type="dxa"/>
            </w:tcMar>
            <w:shd w:fill="082C4A"/>
          </w:tcPr>
          <w:p>
            <w:pPr>
              <w:widowControl w:val="0"/>
              <w:spacing w:after="0" w:before="0" w:line="280" w:lineRule="exact"/>
              <w:jc w:val="left"/>
            </w:pPr>
            <w:r>
              <w:rPr>
                <w:rFonts w:ascii="Arial" w:hAnsi="Arial"/>
                <w:b/>
                <w:color w:val="FFFFFF"/>
                <w:sz w:val="16"/>
              </w:rPr>
              <w:t>Source ID</w:t>
            </w:r>
          </w:p>
        </w:tc>
        <w:tc>
          <w:tcPr>
            <w:tcW w:type="dxa" w:w="4470"/>
            <w:tcMar>
              <w:top w:w="0" w:type="dxa"/>
              <w:bottom w:w="0" w:type="dxa"/>
              <w:left w:w="15" w:type="dxa"/>
              <w:right w:w="15" w:type="dxa"/>
            </w:tcMar>
            <w:noWrap/>
            <w:shd w:fill="082C4A"/>
          </w:tcPr>
          <w:p>
            <w:pPr>
              <w:widowControl w:val="0"/>
              <w:spacing w:after="0" w:before="0" w:line="280" w:lineRule="exact"/>
              <w:jc w:val="right"/>
            </w:pPr>
            <w:r>
              <w:rPr>
                <w:rFonts w:ascii="Arial" w:hAnsi="Arial"/>
                <w:b/>
                <w:color w:val="FFFFFF"/>
                <w:sz w:val="16"/>
              </w:rPr>
              <w:t>Kind / host</w:t>
            </w:r>
          </w:p>
        </w:tc>
        <w:tc>
          <w:tcPr>
            <w:tcW w:type="dxa" w:w="4470"/>
            <w:tcMar>
              <w:top w:w="0" w:type="dxa"/>
              <w:bottom w:w="0" w:type="dxa"/>
              <w:left w:w="15" w:type="dxa"/>
              <w:right w:w="15" w:type="dxa"/>
            </w:tcMar>
            <w:noWrap/>
            <w:shd w:fill="082C4A"/>
          </w:tcPr>
          <w:p>
            <w:pPr>
              <w:widowControl w:val="0"/>
              <w:spacing w:after="0" w:before="0" w:line="280" w:lineRule="exact"/>
              <w:jc w:val="right"/>
            </w:pPr>
            <w:r>
              <w:rPr>
                <w:rFonts w:ascii="Arial" w:hAnsi="Arial"/>
                <w:b/>
                <w:color w:val="FFFFFF"/>
                <w:sz w:val="16"/>
              </w:rPr>
              <w:t>Retrieved</w:t>
            </w:r>
          </w:p>
        </w:tc>
      </w:tr>
      <w:tr>
        <w:trPr>
          <w:cantSplit/>
        </w:trPr>
        <w:tc>
          <w:tcPr>
            <w:tcW w:type="dxa" w:w="1700"/>
            <w:tcMar>
              <w:top w:w="0" w:type="dxa"/>
              <w:bottom w:w="0" w:type="dxa"/>
              <w:left w:w="15" w:type="dxa"/>
              <w:right w:w="15" w:type="dxa"/>
            </w:tcMar>
          </w:tcPr>
          <w:p>
            <w:pPr>
              <w:widowControl w:val="0"/>
              <w:spacing w:after="0" w:before="0" w:line="280" w:lineRule="exact"/>
              <w:jc w:val="left"/>
            </w:pPr>
            <w:r>
              <w:rPr>
                <w:rFonts w:ascii="Arial" w:hAnsi="Arial"/>
                <w:b w:val="0"/>
                <w:sz w:val="16"/>
              </w:rPr>
              <w:t>S1</w:t>
            </w:r>
          </w:p>
        </w:tc>
        <w:tc>
          <w:tcPr>
            <w:tcW w:type="dxa" w:w="4470"/>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secondary_public_feed / query1.finance.yahoo.com</w:t>
            </w:r>
          </w:p>
        </w:tc>
        <w:tc>
          <w:tcPr>
            <w:tcW w:type="dxa" w:w="4470"/>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2026-10-03</w:t>
            </w:r>
          </w:p>
        </w:tc>
      </w:tr>
      <w:tr>
        <w:trPr>
          <w:cantSplit/>
        </w:trPr>
        <w:tc>
          <w:tcPr>
            <w:tcW w:type="dxa" w:w="1700"/>
            <w:tcMar>
              <w:top w:w="0" w:type="dxa"/>
              <w:bottom w:w="0" w:type="dxa"/>
              <w:left w:w="15" w:type="dxa"/>
              <w:right w:w="15" w:type="dxa"/>
            </w:tcMar>
          </w:tcPr>
          <w:p>
            <w:pPr>
              <w:widowControl w:val="0"/>
              <w:spacing w:after="0" w:before="0" w:line="280" w:lineRule="exact"/>
              <w:jc w:val="left"/>
            </w:pPr>
            <w:r>
              <w:rPr>
                <w:rFonts w:ascii="Arial" w:hAnsi="Arial"/>
                <w:b w:val="0"/>
                <w:sz w:val="16"/>
              </w:rPr>
              <w:t>S2</w:t>
            </w:r>
          </w:p>
        </w:tc>
        <w:tc>
          <w:tcPr>
            <w:tcW w:type="dxa" w:w="4470"/>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secondary_public_feed / query1.finance.yahoo.com</w:t>
            </w:r>
          </w:p>
        </w:tc>
        <w:tc>
          <w:tcPr>
            <w:tcW w:type="dxa" w:w="4470"/>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2026-10-03</w:t>
            </w:r>
          </w:p>
        </w:tc>
      </w:tr>
      <w:tr>
        <w:trPr>
          <w:cantSplit/>
        </w:trPr>
        <w:tc>
          <w:tcPr>
            <w:tcW w:type="dxa" w:w="1700"/>
            <w:tcMar>
              <w:top w:w="0" w:type="dxa"/>
              <w:bottom w:w="0" w:type="dxa"/>
              <w:left w:w="15" w:type="dxa"/>
              <w:right w:w="15" w:type="dxa"/>
            </w:tcMar>
          </w:tcPr>
          <w:p>
            <w:pPr>
              <w:widowControl w:val="0"/>
              <w:spacing w:after="0" w:before="0" w:line="280" w:lineRule="exact"/>
              <w:jc w:val="left"/>
            </w:pPr>
            <w:r>
              <w:rPr>
                <w:rFonts w:ascii="Arial" w:hAnsi="Arial"/>
                <w:b w:val="0"/>
                <w:sz w:val="16"/>
              </w:rPr>
              <w:t>S3</w:t>
            </w:r>
          </w:p>
        </w:tc>
        <w:tc>
          <w:tcPr>
            <w:tcW w:type="dxa" w:w="4470"/>
            <w:tcMar>
              <w:top w:w="0" w:type="dxa"/>
              <w:bottom w:w="0" w:type="dxa"/>
              <w:left w:w="15" w:type="dxa"/>
              <w:right w:w="15" w:type="dxa"/>
            </w:tcMar>
            <w:noWrap/>
          </w:tcPr>
          <w:p>
            <w:pPr>
              <w:widowControl w:val="0"/>
              <w:spacing w:after="0" w:before="0" w:line="280" w:lineRule="exact"/>
              <w:jc w:val="right"/>
            </w:pPr>
            <w:r>
              <w:rPr>
                <w:rFonts w:ascii="Arial" w:hAnsi="Arial"/>
                <w:b w:val="0"/>
                <w:sz w:val="16"/>
              </w:rPr>
              <w:t>secondary_public_feed / datacenter.eastmoney.com</w:t>
            </w:r>
          </w:p>
        </w:tc>
        <w:tc>
          <w:tcPr>
            <w:tcW w:type="dxa" w:w="4470"/>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2026-10-03</w:t>
            </w:r>
          </w:p>
        </w:tc>
      </w:tr>
      <w:tr>
        <w:trPr>
          <w:cantSplit/>
        </w:trPr>
        <w:tc>
          <w:tcPr>
            <w:tcW w:type="dxa" w:w="1700"/>
            <w:tcMar>
              <w:top w:w="0" w:type="dxa"/>
              <w:bottom w:w="0" w:type="dxa"/>
              <w:left w:w="15" w:type="dxa"/>
              <w:right w:w="15" w:type="dxa"/>
            </w:tcMar>
          </w:tcPr>
          <w:p>
            <w:pPr>
              <w:widowControl w:val="0"/>
              <w:spacing w:after="0" w:before="0" w:line="280" w:lineRule="exact"/>
              <w:jc w:val="left"/>
            </w:pPr>
            <w:r>
              <w:rPr>
                <w:rFonts w:ascii="Arial" w:hAnsi="Arial"/>
                <w:b w:val="0"/>
                <w:sz w:val="16"/>
              </w:rPr>
              <w:t>S4</w:t>
            </w:r>
          </w:p>
        </w:tc>
        <w:tc>
          <w:tcPr>
            <w:tcW w:type="dxa" w:w="4470"/>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secondary_public_feed / query1.finance.yahoo.com</w:t>
            </w:r>
          </w:p>
        </w:tc>
        <w:tc>
          <w:tcPr>
            <w:tcW w:type="dxa" w:w="4470"/>
            <w:tcMar>
              <w:top w:w="0" w:type="dxa"/>
              <w:bottom w:w="0" w:type="dxa"/>
              <w:left w:w="15" w:type="dxa"/>
              <w:right w:w="15" w:type="dxa"/>
            </w:tcMar>
            <w:noWrap/>
          </w:tcPr>
          <w:p>
            <w:pPr>
              <w:widowControl w:val="0"/>
              <w:spacing w:after="0" w:before="0" w:line="280" w:lineRule="exact"/>
              <w:jc w:val="right"/>
            </w:pPr>
            <w:r>
              <w:rPr>
                <w:rFonts w:ascii="Arial" w:hAnsi="Arial"/>
                <w:b w:val="0"/>
                <w:color w:val="082C4A"/>
                <w:sz w:val="16"/>
              </w:rPr>
              <w:t>2026-10-03</w:t>
            </w:r>
          </w:p>
        </w:tc>
      </w:tr>
    </w:tbl>
    <w:p>
      <w:pPr>
        <w:widowControl w:val="0"/>
        <w:spacing w:after="180" w:before="0" w:line="220" w:lineRule="exact"/>
      </w:pPr>
      <w:r>
        <w:rPr>
          <w:rFonts w:ascii="Arial" w:hAnsi="Arial"/>
          <w:b w:val="0"/>
          <w:sz w:val="16"/>
        </w:rPr>
        <w:t>Secondary financial feeds are not independently verified against issuer filings; publication cutoff and restatement scope require review.</w:t>
      </w:r>
    </w:p>
    <w:p>
      <w:pPr>
        <w:widowControl w:val="0"/>
        <w:spacing w:after="180" w:before="0" w:line="220" w:lineRule="exact"/>
      </w:pPr>
      <w:r>
        <w:rPr>
          <w:rFonts w:ascii="Arial" w:hAnsi="Arial"/>
          <w:b w:val="0"/>
          <w:sz w:val="16"/>
        </w:rPr>
        <w:t>Annual shares and bridge balances are frozen at the latest annual end, not assumed to be current. Corporate actions since that date require review.</w:t>
      </w:r>
    </w:p>
    <w:p>
      <w:pPr>
        <w:widowControl w:val="0"/>
        <w:spacing w:after="180" w:before="0" w:line="220" w:lineRule="exact"/>
      </w:pPr>
      <w:r>
        <w:rPr>
          <w:rFonts w:ascii="Arial" w:hAnsi="Arial"/>
          <w:b w:val="0"/>
          <w:sz w:val="16"/>
        </w:rPr>
        <w:t>Trade working capital proxy omits unavailable prepayments, contract assets and customer advances.</w:t>
      </w:r>
    </w:p>
    <w:p>
      <w:pPr>
        <w:widowControl w:val="0"/>
        <w:spacing w:after="180" w:before="0" w:line="220" w:lineRule="exact"/>
      </w:pPr>
      <w:r>
        <w:rPr>
          <w:rFonts w:ascii="Arial" w:hAnsi="Arial"/>
          <w:b w:val="0"/>
          <w:sz w:val="16"/>
        </w:rPr>
        <w:t>A report is a research draft with explicit assumptions, not a brokerage recommendation.</w:t>
      </w:r>
    </w:p>
    <w:p>
      <w:pPr>
        <w:widowControl w:val="0"/>
        <w:spacing w:after="180" w:before="0" w:line="220" w:lineRule="exact"/>
      </w:pPr>
      <w:r>
        <w:rPr>
          <w:rFonts w:ascii="Arial" w:hAnsi="Arial"/>
          <w:b w:val="0"/>
          <w:sz w:val="16"/>
        </w:rPr>
        <w:t>Defaults are transparent scenario seeds, not analyst-validated fair-value assumptions: latest margin, capped recent growth fading to perpetual growth, historical D&amp;A/capex ratios, 10% revenue operating reserve, 10% WACC and 12% terminal ROIC unless overridden.</w:t>
      </w:r>
    </w:p>
    <w:p>
      <w:pPr>
        <w:widowControl w:val="0"/>
        <w:spacing w:after="180" w:before="0" w:line="220" w:lineRule="exact"/>
      </w:pPr>
      <w:r>
        <w:rPr>
          <w:rFonts w:ascii="Arial" w:hAnsi="Arial"/>
          <w:b w:val="0"/>
          <w:sz w:val="16"/>
        </w:rPr>
        <w:t>Latest annual cash/debt/share balances are frozen unless explicitly overridden; subsequent dividends, buybacks, financing, dilution and interim results are not automatically bridged.</w:t>
      </w:r>
    </w:p>
    <w:p>
      <w:pPr>
        <w:widowControl w:val="0"/>
        <w:spacing w:after="180" w:before="0" w:line="220" w:lineRule="exact"/>
      </w:pPr>
      <w:r>
        <w:rPr>
          <w:rFonts w:ascii="Arial" w:hAnsi="Arial"/>
          <w:b w:val="0"/>
          <w:sz w:val="16"/>
        </w:rPr>
        <w:t>NCI is deducted at book value; unrecognized non-operating stakes, assets and senior claims may materially change value.</w:t>
      </w:r>
    </w:p>
    <w:p>
      <w:pPr>
        <w:widowControl w:val="0"/>
        <w:spacing w:after="180" w:before="0" w:line="220" w:lineRule="exact"/>
      </w:pPr>
      <w:r>
        <w:rPr>
          <w:rFonts w:ascii="Arial" w:hAnsi="Arial"/>
          <w:b w:val="0"/>
          <w:sz w:val="16"/>
        </w:rPr>
        <w:t>First future fiscal cash flow is prorated by days remaining; same-calendar-date fiscal forecasts approximate 52/53-week calendars. Stock-based compensation is not deducted separately and future dilution is not forecast.</w:t>
      </w:r>
    </w:p>
    <w:p>
      <w:pPr>
        <w:widowControl w:val="0"/>
        <w:spacing w:after="180" w:before="0" w:line="220" w:lineRule="exact"/>
      </w:pPr>
      <w:r>
        <w:rPr>
          <w:rFonts w:ascii="Arial" w:hAnsi="Arial"/>
          <w:b w:val="0"/>
          <w:sz w:val="16"/>
        </w:rPr>
        <w:t>Trade NWC uses receivables + inventory - payables - deferred revenue. Missing components are omitted; this proxy excludes other operating current balances. Vendor operating-profit definitions may include investment or finance items and require filing reconciliation before use as core EBIT.</w:t>
      </w:r>
    </w:p>
    <w:p>
      <w:pPr>
        <w:spacing w:after="0" w:before="0" w:line="20" w:lineRule="exact"/>
        <w:sectPr>
          <w:footerReference w:type="default" r:id="rId31"/>
          <w:pgSz w:w="12240" w:h="15840"/>
          <w:pgMar w:top="60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Financial source locators | 1-40</w:t>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4700"/>
        <w:gridCol w:w="2385"/>
        <w:gridCol w:w="2385"/>
        <w:gridCol w:w="2385"/>
        <w:gridCol w:w="2385"/>
      </w:tblGrid>
      <w:tr>
        <w:trPr>
          <w:cantSplit/>
          <w:tblHeader/>
        </w:trPr>
        <w:tc>
          <w:tcPr>
            <w:tcW w:type="dxa" w:w="4700"/>
            <w:tcMar>
              <w:top w:w="0" w:type="dxa"/>
              <w:bottom w:w="0" w:type="dxa"/>
              <w:left w:w="15" w:type="dxa"/>
              <w:right w:w="15" w:type="dxa"/>
            </w:tcMar>
            <w:shd w:fill="082C4A"/>
          </w:tcPr>
          <w:p>
            <w:pPr>
              <w:widowControl w:val="0"/>
              <w:spacing w:after="0" w:before="0" w:line="188" w:lineRule="exact"/>
              <w:jc w:val="left"/>
            </w:pPr>
            <w:r>
              <w:rPr>
                <w:rFonts w:ascii="Arial Narrow" w:hAnsi="Arial Narrow"/>
                <w:b/>
                <w:color w:val="FFFFFF"/>
                <w:sz w:val="14"/>
              </w:rPr>
              <w:t>Fact ID / fiscal end</w:t>
            </w:r>
          </w:p>
        </w:tc>
        <w:tc>
          <w:tcPr>
            <w:tcW w:type="dxa" w:w="2385"/>
            <w:tcMar>
              <w:top w:w="0" w:type="dxa"/>
              <w:bottom w:w="0" w:type="dxa"/>
              <w:left w:w="15" w:type="dxa"/>
              <w:right w:w="15" w:type="dxa"/>
            </w:tcMar>
            <w:noWrap/>
            <w:shd w:fill="082C4A"/>
          </w:tcPr>
          <w:p>
            <w:pPr>
              <w:widowControl w:val="0"/>
              <w:spacing w:after="0" w:before="0" w:line="188" w:lineRule="exact"/>
              <w:jc w:val="right"/>
            </w:pPr>
            <w:r>
              <w:rPr>
                <w:rFonts w:ascii="Arial Narrow" w:hAnsi="Arial Narrow"/>
                <w:b/>
                <w:color w:val="FFFFFF"/>
                <w:sz w:val="14"/>
              </w:rPr>
              <w:t>Raw value</w:t>
            </w:r>
          </w:p>
        </w:tc>
        <w:tc>
          <w:tcPr>
            <w:tcW w:type="dxa" w:w="2385"/>
            <w:tcMar>
              <w:top w:w="0" w:type="dxa"/>
              <w:bottom w:w="0" w:type="dxa"/>
              <w:left w:w="15" w:type="dxa"/>
              <w:right w:w="15" w:type="dxa"/>
            </w:tcMar>
            <w:noWrap/>
            <w:shd w:fill="082C4A"/>
          </w:tcPr>
          <w:p>
            <w:pPr>
              <w:widowControl w:val="0"/>
              <w:spacing w:after="0" w:before="0" w:line="188" w:lineRule="exact"/>
              <w:jc w:val="right"/>
            </w:pPr>
            <w:r>
              <w:rPr>
                <w:rFonts w:ascii="Arial Narrow" w:hAnsi="Arial Narrow"/>
                <w:b/>
                <w:color w:val="FFFFFF"/>
                <w:sz w:val="14"/>
              </w:rPr>
              <w:t>Unit</w:t>
            </w:r>
          </w:p>
        </w:tc>
        <w:tc>
          <w:tcPr>
            <w:tcW w:type="dxa" w:w="2385"/>
            <w:tcMar>
              <w:top w:w="0" w:type="dxa"/>
              <w:bottom w:w="0" w:type="dxa"/>
              <w:left w:w="15" w:type="dxa"/>
              <w:right w:w="15" w:type="dxa"/>
            </w:tcMar>
            <w:noWrap/>
            <w:shd w:fill="082C4A"/>
          </w:tcPr>
          <w:p>
            <w:pPr>
              <w:widowControl w:val="0"/>
              <w:spacing w:after="0" w:before="0" w:line="188" w:lineRule="exact"/>
              <w:jc w:val="right"/>
            </w:pPr>
            <w:r>
              <w:rPr>
                <w:rFonts w:ascii="Arial Narrow" w:hAnsi="Arial Narrow"/>
                <w:b/>
                <w:color w:val="FFFFFF"/>
                <w:sz w:val="14"/>
              </w:rPr>
              <w:t>Source ID</w:t>
            </w:r>
          </w:p>
        </w:tc>
        <w:tc>
          <w:tcPr>
            <w:tcW w:type="dxa" w:w="2385"/>
            <w:tcMar>
              <w:top w:w="0" w:type="dxa"/>
              <w:bottom w:w="0" w:type="dxa"/>
              <w:left w:w="15" w:type="dxa"/>
              <w:right w:w="15" w:type="dxa"/>
            </w:tcMar>
            <w:noWrap/>
            <w:shd w:fill="082C4A"/>
          </w:tcPr>
          <w:p>
            <w:pPr>
              <w:widowControl w:val="0"/>
              <w:spacing w:after="0" w:before="0" w:line="188" w:lineRule="exact"/>
              <w:jc w:val="right"/>
            </w:pPr>
            <w:r>
              <w:rPr>
                <w:rFonts w:ascii="Arial Narrow" w:hAnsi="Arial Narrow"/>
                <w:b/>
                <w:color w:val="FFFFFF"/>
                <w:sz w:val="14"/>
              </w:rPr>
              <w:t>Field locator</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F01.2022-12-31.assets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1,578,131,000,000.00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annualTotalAssets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F01.2022-12-31.cost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315,806,000,000.00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annualCostOfRevenue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F01.2022-12-31.inventory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2,333,000,000.00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annualInventory</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F01.2022-12-31.cfo</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146,091,000,000.00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annualOperatingCashFlow</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F01.2022-12-31.shares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9,568,738,935.00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shares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annualOrdinarySharesNumber</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F01.2022-12-31.da</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61,216,000,000.00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annualDepreciationAndAmortization</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F01.2022-12-31.receivables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45,467,000,000.00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annualAccountsReceivable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F01.2022-12-31.investments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134,017,000,000.00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annualOtherShortTermInvestments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F01.2022-12-31.tax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21,516,000,000.00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annualTaxProvision</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F01.2022-12-31.revenue</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554,552,000,000.00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annualTotalRevenue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F01.2022-12-31.pretax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210,225,000,000.00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annualPretaxIncome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F01.2022-12-31.ebit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113,940,000,000.00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annualOperatingIncome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F01.2022-12-31.payables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92,381,000,000.00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annualAccountsPayable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F01.2022-12-31.parent_income</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188,243,000,000.00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annualNetIncome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F01.2022-12-31.nci</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61,469,000,000.00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annualMinorityInterest</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F01.2022-12-31.debt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359,141,000,000.00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annualTotalDebt</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F01.2022-12-31.cash</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156,739,000,000.00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annualCashAndCashEquivalents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F01.2022-12-31.equity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721,391,000,000.00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annualStockholdersEquity</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F01.2022-12-31.capex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50,850,000,000.00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annualCapitalExpenditure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F02.2023-12-31.assets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1,577,246,000,000.00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annualTotalAssets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F02.2023-12-31.cost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315,906,000,000.00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annualCostOfRevenue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F02.2023-12-31.inventory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456,000,000.00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annualInventory</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F02.2023-12-31.cfo</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221,962,000,000.00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annualOperatingCashFlow</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F02.2023-12-31.shares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9,391,209,351.00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shares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annualOrdinarySharesNumber</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F02.2023-12-31.da</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59,008,000,000.00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annualDepreciationAndAmortization</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F02.2023-12-31.receivables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46,606,000,000.00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annualAccountsReceivable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F02.2023-12-31.investments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206,835,000,000.00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annualOtherShortTermInvestments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F02.2023-12-31.tax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43,276,000,000.00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annualTaxProvision</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F02.2023-12-31.revenue</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609,015,000,000.00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annualTotalRevenue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F02.2023-12-31.pretax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161,324,000,000.00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annualPretaxIncome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F02.2023-12-31.ebit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165,658,000,000.00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annualOperatingIncome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F02.2023-12-31.payables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100,948,000,000.00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annualAccountsPayable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F02.2023-12-31.parent_income</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115,216,000,000.00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annualNetIncome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F02.2023-12-31.nci</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65,090,000,000.00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annualMinorityInterest</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F02.2023-12-31.debt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371,240,000,000.00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annualTotalDebt</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F02.2023-12-31.cash</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172,320,000,000.00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annualCashAndCashEquivalents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F02.2023-12-31.equity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808,591,000,000.00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annualStockholdersEquity</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F02.2023-12-31.capex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47,407,000,000.00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annualCapitalExpenditure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F03.2024-12-31.assets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1,780,995,000,000.00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annualTotalAssets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F03.2024-12-31.cost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311,011,000,000.00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annualCostOfRevenue</w:t>
            </w:r>
          </w:p>
        </w:tc>
      </w:tr>
    </w:tbl>
    <w:p>
      <w:pPr>
        <w:widowControl w:val="0"/>
        <w:spacing w:after="180" w:before="0" w:line="200" w:lineRule="exact"/>
      </w:pPr>
      <w:r>
        <w:rPr>
          <w:rFonts w:ascii="Arial" w:hAnsi="Arial"/>
          <w:b w:val="0"/>
          <w:sz w:val="15"/>
        </w:rPr>
        <w:t>Field locators may be shortened for display. Full tags, source URLs, accession/filing dates where matched, raw responses, hashes and component definitions remain in company_snapshot.json and data/. SEC matching does not replace accounting-scope review; secondary feeds are not independently filing-verified.</w:t>
      </w:r>
    </w:p>
    <w:p>
      <w:pPr>
        <w:spacing w:after="0" w:before="0" w:line="20" w:lineRule="exact"/>
        <w:sectPr>
          <w:footerReference w:type="default" r:id="rId33"/>
          <w:pgSz w:w="15840" w:h="12240" w:orient="landscape"/>
          <w:pgMar w:top="880" w:right="800" w:bottom="720" w:left="800" w:header="600" w:footer="300" w:gutter="0"/>
          <w:cols w:space="720"/>
          <w:docGrid w:linePitch="360"/>
        </w:sectPr>
      </w:pPr>
    </w:p>
    <w:p>
      <w:pPr>
        <w:widowControl w:val="0"/>
        <w:spacing w:after="720" w:before="0" w:line="280" w:lineRule="exact"/>
      </w:pPr>
      <w:r>
        <w:rPr>
          <w:rFonts w:ascii="Arial" w:hAnsi="Arial"/>
          <w:b w:val="0"/>
          <w:color w:val="082C4A"/>
          <w:sz w:val="20"/>
        </w:rPr>
        <w:t>EQUITY RESEARCH AGENT | PUBLIC-DATA RESEARCH DRAFT</w:t>
      </w:r>
    </w:p>
    <w:p>
      <w:pPr>
        <w:widowControl w:val="0"/>
        <w:spacing w:after="260" w:before="0" w:line="500" w:lineRule="exact"/>
      </w:pPr>
      <w:r>
        <w:rPr>
          <w:rFonts w:ascii="Segoe UI Light" w:hAnsi="Segoe UI Light"/>
          <w:b w:val="0"/>
          <w:color w:val="00A6D8"/>
          <w:sz w:val="42"/>
        </w:rPr>
        <w:t>Financial source locators | 41-76</w:t>
      </w:r>
    </w:p>
    <w:tbl>
      <w:tblPr>
        <w:tblW w:type="auto" w:w="0"/>
        <w:tblLayout w:type="fixed"/>
        <w:tblLook w:firstColumn="1" w:firstRow="1" w:lastColumn="0" w:lastRow="0" w:noHBand="0" w:noVBand="1" w:val="04A0"/>
        <w:tblBorders>
          <w:top w:val="nil"/>
          <w:bottom w:val="nil"/>
          <w:left w:val="nil"/>
          <w:right w:val="nil"/>
          <w:insideH w:val="nil"/>
          <w:insideV w:val="nil"/>
        </w:tblBorders>
      </w:tblPr>
      <w:tblGrid>
        <w:gridCol w:w="4700"/>
        <w:gridCol w:w="2385"/>
        <w:gridCol w:w="2385"/>
        <w:gridCol w:w="2385"/>
        <w:gridCol w:w="2385"/>
      </w:tblGrid>
      <w:tr>
        <w:trPr>
          <w:cantSplit/>
          <w:tblHeader/>
        </w:trPr>
        <w:tc>
          <w:tcPr>
            <w:tcW w:type="dxa" w:w="4700"/>
            <w:tcMar>
              <w:top w:w="0" w:type="dxa"/>
              <w:bottom w:w="0" w:type="dxa"/>
              <w:left w:w="15" w:type="dxa"/>
              <w:right w:w="15" w:type="dxa"/>
            </w:tcMar>
            <w:shd w:fill="082C4A"/>
          </w:tcPr>
          <w:p>
            <w:pPr>
              <w:widowControl w:val="0"/>
              <w:spacing w:after="0" w:before="0" w:line="188" w:lineRule="exact"/>
              <w:jc w:val="left"/>
            </w:pPr>
            <w:r>
              <w:rPr>
                <w:rFonts w:ascii="Arial Narrow" w:hAnsi="Arial Narrow"/>
                <w:b/>
                <w:color w:val="FFFFFF"/>
                <w:sz w:val="14"/>
              </w:rPr>
              <w:t>Fact ID / fiscal end</w:t>
            </w:r>
          </w:p>
        </w:tc>
        <w:tc>
          <w:tcPr>
            <w:tcW w:type="dxa" w:w="2385"/>
            <w:tcMar>
              <w:top w:w="0" w:type="dxa"/>
              <w:bottom w:w="0" w:type="dxa"/>
              <w:left w:w="15" w:type="dxa"/>
              <w:right w:w="15" w:type="dxa"/>
            </w:tcMar>
            <w:noWrap/>
            <w:shd w:fill="082C4A"/>
          </w:tcPr>
          <w:p>
            <w:pPr>
              <w:widowControl w:val="0"/>
              <w:spacing w:after="0" w:before="0" w:line="188" w:lineRule="exact"/>
              <w:jc w:val="right"/>
            </w:pPr>
            <w:r>
              <w:rPr>
                <w:rFonts w:ascii="Arial Narrow" w:hAnsi="Arial Narrow"/>
                <w:b/>
                <w:color w:val="FFFFFF"/>
                <w:sz w:val="14"/>
              </w:rPr>
              <w:t>Raw value</w:t>
            </w:r>
          </w:p>
        </w:tc>
        <w:tc>
          <w:tcPr>
            <w:tcW w:type="dxa" w:w="2385"/>
            <w:tcMar>
              <w:top w:w="0" w:type="dxa"/>
              <w:bottom w:w="0" w:type="dxa"/>
              <w:left w:w="15" w:type="dxa"/>
              <w:right w:w="15" w:type="dxa"/>
            </w:tcMar>
            <w:noWrap/>
            <w:shd w:fill="082C4A"/>
          </w:tcPr>
          <w:p>
            <w:pPr>
              <w:widowControl w:val="0"/>
              <w:spacing w:after="0" w:before="0" w:line="188" w:lineRule="exact"/>
              <w:jc w:val="right"/>
            </w:pPr>
            <w:r>
              <w:rPr>
                <w:rFonts w:ascii="Arial Narrow" w:hAnsi="Arial Narrow"/>
                <w:b/>
                <w:color w:val="FFFFFF"/>
                <w:sz w:val="14"/>
              </w:rPr>
              <w:t>Unit</w:t>
            </w:r>
          </w:p>
        </w:tc>
        <w:tc>
          <w:tcPr>
            <w:tcW w:type="dxa" w:w="2385"/>
            <w:tcMar>
              <w:top w:w="0" w:type="dxa"/>
              <w:bottom w:w="0" w:type="dxa"/>
              <w:left w:w="15" w:type="dxa"/>
              <w:right w:w="15" w:type="dxa"/>
            </w:tcMar>
            <w:noWrap/>
            <w:shd w:fill="082C4A"/>
          </w:tcPr>
          <w:p>
            <w:pPr>
              <w:widowControl w:val="0"/>
              <w:spacing w:after="0" w:before="0" w:line="188" w:lineRule="exact"/>
              <w:jc w:val="right"/>
            </w:pPr>
            <w:r>
              <w:rPr>
                <w:rFonts w:ascii="Arial Narrow" w:hAnsi="Arial Narrow"/>
                <w:b/>
                <w:color w:val="FFFFFF"/>
                <w:sz w:val="14"/>
              </w:rPr>
              <w:t>Source ID</w:t>
            </w:r>
          </w:p>
        </w:tc>
        <w:tc>
          <w:tcPr>
            <w:tcW w:type="dxa" w:w="2385"/>
            <w:tcMar>
              <w:top w:w="0" w:type="dxa"/>
              <w:bottom w:w="0" w:type="dxa"/>
              <w:left w:w="15" w:type="dxa"/>
              <w:right w:w="15" w:type="dxa"/>
            </w:tcMar>
            <w:noWrap/>
            <w:shd w:fill="082C4A"/>
          </w:tcPr>
          <w:p>
            <w:pPr>
              <w:widowControl w:val="0"/>
              <w:spacing w:after="0" w:before="0" w:line="188" w:lineRule="exact"/>
              <w:jc w:val="right"/>
            </w:pPr>
            <w:r>
              <w:rPr>
                <w:rFonts w:ascii="Arial Narrow" w:hAnsi="Arial Narrow"/>
                <w:b/>
                <w:color w:val="FFFFFF"/>
                <w:sz w:val="14"/>
              </w:rPr>
              <w:t>Field locator</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F03.2024-12-31.inventory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440,000,000.00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annualInventory</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F03.2024-12-31.cfo</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258,521,000,000.00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annualOperatingCashFlow</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F03.2024-12-31.shares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9,142,175,160.00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shares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annualOrdinarySharesNumber</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F03.2024-12-31.da</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56,213,000,000.00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annualDepreciationAndAmortization</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F03.2024-12-31.receivables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48,203,000,000.00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annualAccountsReceivable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F03.2024-12-31.investments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210,640,000,000.00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annualOtherShortTermInvestments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F03.2024-12-31.tax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45,018,000,000.00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annualTaxProvision</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F03.2024-12-31.revenue</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660,257,000,000.00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annualTotalRevenue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F03.2024-12-31.pretax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241,485,000,000.00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annualPretaxIncome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F03.2024-12-31.ebit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208,786,000,000.00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annualOperatingIncome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F03.2024-12-31.payables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118,712,000,000.00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annualAccountsPayable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F03.2024-12-31.parent_income</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194,073,000,000.00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annualNetIncome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F03.2024-12-31.nci</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80,348,000,000.00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annualMinorityInterest</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F03.2024-12-31.debt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358,112,000,000.00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annualTotalDebt</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F03.2024-12-31.cash</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132,519,000,000.00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annualCashAndCashEquivalents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F03.2024-12-31.equity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973,548,000,000.00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annualStockholdersEquity</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F03.2024-12-31.capex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96,048,000,000.00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annualCapitalExpenditure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F04.2025-12-31.assets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2,038,986,000,000.00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annualTotalAssets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F04.2025-12-31.cost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329,173,000,000.00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annualCostOfRevenue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F04.2025-12-31.inventory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530,000,000.00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annualInventory</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F04.2025-12-31.cfo</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303,052,000,000.00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annualOperatingCashFlow</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F04.2025-12-31.shares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9,032,821,385.00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shares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annualOrdinarySharesNumber</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F04.2025-12-31.da</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66,028,000,000.00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annualDepreciationAndAmortization</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F04.2025-12-31.receivables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49,930,000,000.00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annualAccountsReceivable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F04.2025-12-31.investments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285,712,000,000.00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annualOtherShortTermInvestments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F04.2025-12-31.tax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47,448,000,000.00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annualTaxProvision</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F04.2025-12-31.revenue</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751,766,000,000.00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annualTotalRevenue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F04.2025-12-31.pretax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277,249,000,000.00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annualPretaxIncome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F04.2025-12-31.ebit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248,767,000,000.00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annualOperatingIncome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F04.2025-12-31.payables</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121,127,000,000.00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annualAccountsPayable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F04.2025-12-31.parent_income</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224,842,000,000.00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annualNetIncome</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F04.2025-12-31.nci</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86,913,000,000.00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annualMinorityInterest</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F04.2025-12-31.debt</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406,399,000,000.00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annualTotalDebt</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F04.2025-12-31.cash</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141,041,000,000.00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annualCashAndCashEquivalents</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F04.2025-12-31.equity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1,154,152,000,000.00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annualStockholdersEquity</w:t>
            </w:r>
          </w:p>
        </w:tc>
      </w:tr>
      <w:tr>
        <w:trPr>
          <w:cantSplit/>
        </w:trPr>
        <w:tc>
          <w:tcPr>
            <w:tcW w:type="dxa" w:w="4700"/>
            <w:tcMar>
              <w:top w:w="0" w:type="dxa"/>
              <w:bottom w:w="0" w:type="dxa"/>
              <w:left w:w="15" w:type="dxa"/>
              <w:right w:w="15" w:type="dxa"/>
            </w:tcMar>
          </w:tcPr>
          <w:p>
            <w:pPr>
              <w:widowControl w:val="0"/>
              <w:spacing w:after="0" w:before="0" w:line="188" w:lineRule="exact"/>
              <w:jc w:val="left"/>
            </w:pPr>
            <w:r>
              <w:rPr>
                <w:rFonts w:ascii="Arial Narrow" w:hAnsi="Arial Narrow"/>
                <w:b w:val="0"/>
                <w:sz w:val="14"/>
              </w:rPr>
              <w:t>F04.2025-12-31.capex</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112,881,000,000.00</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CNY</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color w:val="082C4A"/>
                <w:sz w:val="14"/>
              </w:rPr>
              <w:t>S2</w:t>
            </w:r>
          </w:p>
        </w:tc>
        <w:tc>
          <w:tcPr>
            <w:tcW w:type="dxa" w:w="2385"/>
            <w:tcMar>
              <w:top w:w="0" w:type="dxa"/>
              <w:bottom w:w="0" w:type="dxa"/>
              <w:left w:w="15" w:type="dxa"/>
              <w:right w:w="15" w:type="dxa"/>
            </w:tcMar>
            <w:noWrap/>
          </w:tcPr>
          <w:p>
            <w:pPr>
              <w:widowControl w:val="0"/>
              <w:spacing w:after="0" w:before="0" w:line="188" w:lineRule="exact"/>
              <w:jc w:val="right"/>
            </w:pPr>
            <w:r>
              <w:rPr>
                <w:rFonts w:ascii="Arial Narrow" w:hAnsi="Arial Narrow"/>
                <w:b w:val="0"/>
                <w:sz w:val="14"/>
              </w:rPr>
              <w:t>annualCapitalExpenditure</w:t>
            </w:r>
          </w:p>
        </w:tc>
      </w:tr>
    </w:tbl>
    <w:p>
      <w:pPr>
        <w:widowControl w:val="0"/>
        <w:spacing w:after="180" w:before="0" w:line="200" w:lineRule="exact"/>
      </w:pPr>
      <w:r>
        <w:rPr>
          <w:rFonts w:ascii="Arial" w:hAnsi="Arial"/>
          <w:b w:val="0"/>
          <w:sz w:val="15"/>
        </w:rPr>
        <w:t>Field locators may be shortened for display. Full tags, source URLs, accession/filing dates where matched, raw responses, hashes and component definitions remain in company_snapshot.json and data/. SEC matching does not replace accounting-scope review; secondary feeds are not independently filing-verified.</w:t>
      </w:r>
    </w:p>
    <w:sectPr w:rsidR="00FC693F" w:rsidRPr="0006063C" w:rsidSect="00034616">
      <w:footerReference w:type="default" r:id="rId35"/>
      <w:pgSz w:w="15840" w:h="12240" w:orient="landscape"/>
      <w:pgMar w:top="880" w:right="800" w:bottom="720" w:left="800" w:header="600" w:footer="3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160" w:lineRule="exact"/>
    </w:pPr>
    <w:r>
      <w:rPr>
        <w:color w:val="607D90"/>
        <w:sz w:val="14"/>
      </w:rPr>
      <w:t>00700 | HK | 2026-10-03</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80" w:lineRule="exac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footer" Target="footer2.xml"/><Relationship Id="rId14" Type="http://schemas.openxmlformats.org/officeDocument/2006/relationships/footer" Target="footer3.xml"/><Relationship Id="rId16" Type="http://schemas.openxmlformats.org/officeDocument/2006/relationships/footer" Target="footer4.xml"/><Relationship Id="rId18" Type="http://schemas.openxmlformats.org/officeDocument/2006/relationships/footer" Target="footer5.xml"/><Relationship Id="rId20" Type="http://schemas.openxmlformats.org/officeDocument/2006/relationships/footer" Target="footer6.xml"/><Relationship Id="rId22" Type="http://schemas.openxmlformats.org/officeDocument/2006/relationships/footer" Target="footer7.xml"/><Relationship Id="rId23" Type="http://schemas.openxmlformats.org/officeDocument/2006/relationships/image" Target="media/image2.png"/><Relationship Id="rId25" Type="http://schemas.openxmlformats.org/officeDocument/2006/relationships/footer" Target="footer8.xml"/><Relationship Id="rId27" Type="http://schemas.openxmlformats.org/officeDocument/2006/relationships/footer" Target="footer9.xml"/><Relationship Id="rId29" Type="http://schemas.openxmlformats.org/officeDocument/2006/relationships/footer" Target="footer10.xml"/><Relationship Id="rId31" Type="http://schemas.openxmlformats.org/officeDocument/2006/relationships/footer" Target="footer11.xml"/><Relationship Id="rId33" Type="http://schemas.openxmlformats.org/officeDocument/2006/relationships/footer" Target="footer12.xml"/><Relationship Id="rId35"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Tencent Holdings Limited Financial analysis and explicit DCF assumptions</dc:title>
  <dc:subject>Public financial analysis with explicit assumptions using the retained reference layout</dc:subject>
  <dc:creator>Equity Research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