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02C57"/>
          <w:sz w:val="48"/>
        </w:rPr>
        <w:t>FinSecure: Trust-Aware Zero-Trust Framework</w:t>
      </w:r>
    </w:p>
    <w:p>
      <w:pPr>
        <w:spacing w:after="320"/>
      </w:pPr>
      <w:r>
        <w:rPr>
          <w:rFonts w:ascii="Calibri" w:hAnsi="Calibri"/>
          <w:i/>
          <w:color w:val="646464"/>
          <w:sz w:val="24"/>
        </w:rPr>
        <w:t>Continuous Behavioral Security Architecture for Autonomous Multi-Agent Systems</w:t>
        <w:br/>
        <w:t>Comprehensive Technical Specification &amp; Implementation Guide</w:t>
      </w:r>
    </w:p>
    <w:p>
      <w:pPr>
        <w:pStyle w:val="Heading1"/>
        <w:spacing w:before="280" w:after="120"/>
      </w:pPr>
      <w:r>
        <w:rPr>
          <w:rFonts w:ascii="Calibri" w:hAnsi="Calibri"/>
          <w:b/>
          <w:color w:val="102C57"/>
          <w:sz w:val="36"/>
        </w:rPr>
        <w:t>1. Executive Summary &amp; Design Philosophy</w:t>
      </w:r>
    </w:p>
    <w:p>
      <w:r>
        <w:t>Autonomous Multi-Agent Systems (MAS) present unique cybersecurity vulnerabilities that traditional perimeter defense and point-of-login authentication cannot address. When Large Language Model (LLM) agents collaborate, a single compromised agent or poisoned context (e.g., indirect prompt injection hidden in banking memos or policies) can trigger cascading failures, unauthorized privilege escalation, confused deputy attacks, and irreversible financial damage.</w:t>
        <w:br/>
        <w:br/>
        <w:t>FinSecure establishes a Trust-Aware Zero-Trust architecture enforcing Continuous Behavioral Security across five specialized banking agents (Orchestrator, Planner, Researcher, Executor, Auditor). The fundamental axiom of FinSecure is Complete Mediation: Agents never communicate directly with each other, never hold direct database connections, and cannot invoke external APIs independently. Instead, every single interaction is sealed into a cryptographically signed envelope and routed through the Zero-Trust Security Gateway.</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C508C"/>
              <w:top w:val="none"/>
              <w:bottom w:val="none"/>
              <w:right w:val="none"/>
            </w:tcBorders>
          </w:tcPr>
          <w:p>
            <w:pPr>
              <w:spacing w:before="40" w:after="80"/>
            </w:pPr>
            <w:r>
              <w:rPr>
                <w:rFonts w:ascii="Calibri" w:hAnsi="Calibri"/>
                <w:b/>
                <w:color w:val="102C57"/>
                <w:sz w:val="21"/>
              </w:rPr>
              <w:t>NOTE: Zero-Trust Complete Mediation Axiom</w:t>
              <w:br/>
            </w:r>
            <w:r>
              <w:rPr>
                <w:rFonts w:ascii="Calibri" w:hAnsi="Calibri"/>
                <w:color w:val="282828"/>
                <w:sz w:val="20"/>
              </w:rPr>
              <w:t>No entity inside the multi-agent mesh is trusted by default, regardless of role or network locality. Every inter-agent message and every tool invocation is verified at runtime against identity credentials, user-intent scope, declarative policies, and behavioral trust scores before execution.</w:t>
            </w:r>
          </w:p>
        </w:tc>
      </w:tr>
    </w:tbl>
    <w:p>
      <w:pPr>
        <w:spacing w:after="80"/>
      </w:pPr>
    </w:p>
    <w:p>
      <w:pPr>
        <w:pStyle w:val="Heading1"/>
        <w:spacing w:before="280" w:after="120"/>
      </w:pPr>
      <w:r>
        <w:rPr>
          <w:rFonts w:ascii="Calibri" w:hAnsi="Calibri"/>
          <w:b/>
          <w:color w:val="102C57"/>
          <w:sz w:val="36"/>
        </w:rPr>
        <w:t>2. System Architecture Decomposition</w:t>
      </w:r>
    </w:p>
    <w:p>
      <w:r>
        <w:t>The architecture corresponds directly to the four macro-layers established in the formal methodology:</w:t>
      </w:r>
    </w:p>
    <w:p>
      <w:r>
        <w:t>• Layer 1: Input Layer (Enterprise User):</w:t>
        <w:br/>
        <w:t xml:space="preserve">  Accepts authenticated staff prompts and banking commands. Receives the finalized, auditor-verified output.</w:t>
        <w:br/>
        <w:br/>
        <w:t>• Layer 2: LangGraph Multi-Agent Orchestration Layer:</w:t>
        <w:br/>
        <w:t xml:space="preserve">  Constructed using LangGraph state graphs. Houses the five specialized banking agents:</w:t>
        <w:br/>
        <w:t xml:space="preserve">  - Orchestrator: Ingests requests, establishes intent tokens, and delivers final answers.</w:t>
        <w:br/>
        <w:t xml:space="preserve">  - Planner: Deconstructs requests into ordered, granular operational steps.</w:t>
        <w:br/>
        <w:t xml:space="preserve">  - Researcher: Connects to read-only tools, customer document vaults, and policy stores.</w:t>
        <w:br/>
        <w:t xml:space="preserve">  - Executor: Connects to operational write tools, account balances, and database mutations.</w:t>
        <w:br/>
        <w:t xml:space="preserve">  - Auditor: Evaluates the execution trace against banking policies and flags anomalies.</w:t>
        <w:br/>
        <w:br/>
        <w:t>• Layer 3: Security Proxy Block (Zero-Trust Gateway):</w:t>
        <w:br/>
        <w:t xml:space="preserve">  The single choke-point intercepting all inter-agent messages and tool calls. Houses the Synchronous Critical Path and Asynchronous Analytics Track, Core Security Engines, and the Adaptive Decision Engine.</w:t>
        <w:br/>
        <w:br/>
        <w:t>• Layer 4: Audit &amp; Compliance Layer:</w:t>
        <w:br/>
        <w:t xml:space="preserve">  Cryptographic Merkle ledger committing every event hash into tamper-evident audit trees with externally signed roots.</w:t>
      </w:r>
    </w:p>
    <w:p>
      <w:pPr>
        <w:pStyle w:val="Heading1"/>
        <w:spacing w:before="280" w:after="120"/>
      </w:pPr>
      <w:r>
        <w:rPr>
          <w:rFonts w:ascii="Calibri" w:hAnsi="Calibri"/>
          <w:b/>
          <w:color w:val="102C57"/>
          <w:sz w:val="36"/>
        </w:rPr>
        <w:t>3. Synchronous Critical Path vs. Asynchronous Analytics Track</w:t>
      </w:r>
    </w:p>
    <w:p>
      <w:r>
        <w:t>A central architectural challenge in securing autonomous multi-agent systems is balancing rigorous, zero-bypass security enforcement with acceptable system throughput and latency. If every analytical metric, anomaly scan, and ledger root calculation ran inline before every single message, the multi-agent graph would grind to a halt. Conversely, if security checks were performed asynchronously in the background, an adversary could execute an irreversible transaction before the block verdict arrived.</w:t>
        <w:br/>
        <w:br/>
        <w:t>FinSecure resolves this via a Dual-Track Gateway Pipeline: dividing security processing strictly into a Synchronous Critical Path (inline blocking enforcement) and an Asynchronous Analytics Track (parallel non-blocking intelligence).</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102C57"/>
            <w:tcMar>
              <w:top w:w="120" w:type="dxa"/>
              <w:bottom w:w="120" w:type="dxa"/>
              <w:left w:w="150" w:type="dxa"/>
              <w:right w:w="150" w:type="dxa"/>
            </w:tcMar>
          </w:tcPr>
          <w:p>
            <w:pPr>
              <w:jc w:val="left"/>
            </w:pPr>
            <w:r>
              <w:rPr>
                <w:rFonts w:ascii="Calibri" w:hAnsi="Calibri"/>
                <w:b/>
                <w:color w:val="FFFFFF"/>
                <w:sz w:val="20"/>
              </w:rPr>
              <w:t>Track</w:t>
            </w:r>
          </w:p>
        </w:tc>
        <w:tc>
          <w:tcPr>
            <w:tcW w:type="dxa" w:w="2160"/>
            <w:shd w:val="clear" w:color="auto" w:fill="102C57"/>
            <w:tcMar>
              <w:top w:w="120" w:type="dxa"/>
              <w:bottom w:w="120" w:type="dxa"/>
              <w:left w:w="150" w:type="dxa"/>
              <w:right w:w="150" w:type="dxa"/>
            </w:tcMar>
          </w:tcPr>
          <w:p>
            <w:pPr>
              <w:jc w:val="left"/>
            </w:pPr>
            <w:r>
              <w:rPr>
                <w:rFonts w:ascii="Calibri" w:hAnsi="Calibri"/>
                <w:b/>
                <w:color w:val="FFFFFF"/>
                <w:sz w:val="20"/>
              </w:rPr>
              <w:t>Execution Model</w:t>
            </w:r>
          </w:p>
        </w:tc>
        <w:tc>
          <w:tcPr>
            <w:tcW w:type="dxa" w:w="3168"/>
            <w:shd w:val="clear" w:color="auto" w:fill="102C57"/>
            <w:tcMar>
              <w:top w:w="120" w:type="dxa"/>
              <w:bottom w:w="120" w:type="dxa"/>
              <w:left w:w="150" w:type="dxa"/>
              <w:right w:w="150" w:type="dxa"/>
            </w:tcMar>
          </w:tcPr>
          <w:p>
            <w:pPr>
              <w:jc w:val="left"/>
            </w:pPr>
            <w:r>
              <w:rPr>
                <w:rFonts w:ascii="Calibri" w:hAnsi="Calibri"/>
                <w:b/>
                <w:color w:val="FFFFFF"/>
                <w:sz w:val="20"/>
              </w:rPr>
              <w:t>Component Modules</w:t>
            </w:r>
          </w:p>
        </w:tc>
        <w:tc>
          <w:tcPr>
            <w:tcW w:type="dxa" w:w="3312"/>
            <w:shd w:val="clear" w:color="auto" w:fill="102C57"/>
            <w:tcMar>
              <w:top w:w="120" w:type="dxa"/>
              <w:bottom w:w="120" w:type="dxa"/>
              <w:left w:w="150" w:type="dxa"/>
              <w:right w:w="150" w:type="dxa"/>
            </w:tcMar>
          </w:tcPr>
          <w:p>
            <w:pPr>
              <w:jc w:val="left"/>
            </w:pPr>
            <w:r>
              <w:rPr>
                <w:rFonts w:ascii="Calibri" w:hAnsi="Calibri"/>
                <w:b/>
                <w:color w:val="FFFFFF"/>
                <w:sz w:val="20"/>
              </w:rPr>
              <w:t>System Responsibility</w:t>
            </w:r>
          </w:p>
        </w:tc>
      </w:tr>
      <w:tr>
        <w:tc>
          <w:tcPr>
            <w:tcW w:type="dxa" w:w="2160"/>
            <w:shd w:val="clear" w:color="auto" w:fill="FFFFFF"/>
            <w:tcMar>
              <w:top w:w="80" w:type="dxa"/>
              <w:bottom w:w="80" w:type="dxa"/>
              <w:left w:w="120" w:type="dxa"/>
              <w:right w:w="120" w:type="dxa"/>
            </w:tcMar>
          </w:tcPr>
          <w:p>
            <w:r>
              <w:rPr>
                <w:rFonts w:ascii="Calibri" w:hAnsi="Calibri"/>
                <w:color w:val="282828"/>
                <w:sz w:val="19"/>
              </w:rPr>
              <w:t>Synchronous Critical Path</w:t>
            </w:r>
          </w:p>
        </w:tc>
        <w:tc>
          <w:tcPr>
            <w:tcW w:type="dxa" w:w="2160"/>
            <w:shd w:val="clear" w:color="auto" w:fill="FFFFFF"/>
            <w:tcMar>
              <w:top w:w="80" w:type="dxa"/>
              <w:bottom w:w="80" w:type="dxa"/>
              <w:left w:w="120" w:type="dxa"/>
              <w:right w:w="120" w:type="dxa"/>
            </w:tcMar>
          </w:tcPr>
          <w:p>
            <w:r>
              <w:rPr>
                <w:rFonts w:ascii="Calibri" w:hAnsi="Calibri"/>
                <w:color w:val="282828"/>
                <w:sz w:val="19"/>
              </w:rPr>
              <w:t>Blocking (Inline)</w:t>
              <w:br/>
              <w:t>(Request held until verdict)</w:t>
            </w:r>
          </w:p>
        </w:tc>
        <w:tc>
          <w:tcPr>
            <w:tcW w:type="dxa" w:w="3168"/>
            <w:shd w:val="clear" w:color="auto" w:fill="FFFFFF"/>
            <w:tcMar>
              <w:top w:w="80" w:type="dxa"/>
              <w:bottom w:w="80" w:type="dxa"/>
              <w:left w:w="120" w:type="dxa"/>
              <w:right w:w="120" w:type="dxa"/>
            </w:tcMar>
          </w:tcPr>
          <w:p>
            <w:r>
              <w:rPr>
                <w:rFonts w:ascii="Calibri" w:hAnsi="Calibri"/>
                <w:color w:val="282828"/>
                <w:sz w:val="19"/>
              </w:rPr>
              <w:t>• Identity Cache Validator</w:t>
              <w:br/>
              <w:t>• Signed Intent Scope Verifier</w:t>
              <w:br/>
              <w:t>• Provenance DAG Walker</w:t>
              <w:br/>
              <w:t>• Prompt Shield (Regex + LPG2)</w:t>
              <w:br/>
              <w:t>• OPA Policy Engine (RBAC/ABAC)</w:t>
              <w:br/>
              <w:t>• Burst Limiter</w:t>
              <w:br/>
              <w:t>• Adaptive Decision Engine</w:t>
            </w:r>
          </w:p>
        </w:tc>
        <w:tc>
          <w:tcPr>
            <w:tcW w:type="dxa" w:w="3312"/>
            <w:shd w:val="clear" w:color="auto" w:fill="FFFFFF"/>
            <w:tcMar>
              <w:top w:w="80" w:type="dxa"/>
              <w:bottom w:w="80" w:type="dxa"/>
              <w:left w:w="120" w:type="dxa"/>
              <w:right w:w="120" w:type="dxa"/>
            </w:tcMar>
          </w:tcPr>
          <w:p>
            <w:r>
              <w:rPr>
                <w:rFonts w:ascii="Calibri" w:hAnsi="Calibri"/>
                <w:color w:val="282828"/>
                <w:sz w:val="19"/>
              </w:rPr>
              <w:t>Complete Mediation: Guarantees no tool runs and no message is delivered unless proven authentic, in-scope, policy-compliant, and injection-free.</w:t>
            </w:r>
          </w:p>
        </w:tc>
      </w:tr>
      <w:tr>
        <w:tc>
          <w:tcPr>
            <w:tcW w:type="dxa" w:w="2160"/>
            <w:shd w:val="clear" w:color="auto" w:fill="F9FBFD"/>
            <w:tcMar>
              <w:top w:w="80" w:type="dxa"/>
              <w:bottom w:w="80" w:type="dxa"/>
              <w:left w:w="120" w:type="dxa"/>
              <w:right w:w="120" w:type="dxa"/>
            </w:tcMar>
          </w:tcPr>
          <w:p>
            <w:r>
              <w:rPr>
                <w:rFonts w:ascii="Calibri" w:hAnsi="Calibri"/>
                <w:color w:val="282828"/>
                <w:sz w:val="19"/>
              </w:rPr>
              <w:t>Asynchronous Analytics Track</w:t>
            </w:r>
          </w:p>
        </w:tc>
        <w:tc>
          <w:tcPr>
            <w:tcW w:type="dxa" w:w="2160"/>
            <w:shd w:val="clear" w:color="auto" w:fill="F9FBFD"/>
            <w:tcMar>
              <w:top w:w="80" w:type="dxa"/>
              <w:bottom w:w="80" w:type="dxa"/>
              <w:left w:w="120" w:type="dxa"/>
              <w:right w:w="120" w:type="dxa"/>
            </w:tcMar>
          </w:tcPr>
          <w:p>
            <w:r>
              <w:rPr>
                <w:rFonts w:ascii="Calibri" w:hAnsi="Calibri"/>
                <w:color w:val="282828"/>
                <w:sz w:val="19"/>
              </w:rPr>
              <w:t>Non-Blocking (Parallel)</w:t>
              <w:br/>
              <w:t>(Dedicated worker thread)</w:t>
            </w:r>
          </w:p>
        </w:tc>
        <w:tc>
          <w:tcPr>
            <w:tcW w:type="dxa" w:w="3168"/>
            <w:shd w:val="clear" w:color="auto" w:fill="F9FBFD"/>
            <w:tcMar>
              <w:top w:w="80" w:type="dxa"/>
              <w:bottom w:w="80" w:type="dxa"/>
              <w:left w:w="120" w:type="dxa"/>
              <w:right w:w="120" w:type="dxa"/>
            </w:tcMar>
          </w:tcPr>
          <w:p>
            <w:r>
              <w:rPr>
                <w:rFonts w:ascii="Calibri" w:hAnsi="Calibri"/>
                <w:color w:val="282828"/>
                <w:sz w:val="19"/>
              </w:rPr>
              <w:t>• Behavioral Anomaly Detector</w:t>
              <w:br/>
              <w:t>• Trust Score Reward Engine</w:t>
              <w:br/>
              <w:t>• Anomaly Observation Logger</w:t>
              <w:br/>
              <w:t>• Merkle Batch Root Sealer</w:t>
              <w:br/>
              <w:t>• WebSocket Event Broadcaster</w:t>
            </w:r>
          </w:p>
        </w:tc>
        <w:tc>
          <w:tcPr>
            <w:tcW w:type="dxa" w:w="3312"/>
            <w:shd w:val="clear" w:color="auto" w:fill="F9FBFD"/>
            <w:tcMar>
              <w:top w:w="80" w:type="dxa"/>
              <w:bottom w:w="80" w:type="dxa"/>
              <w:left w:w="120" w:type="dxa"/>
              <w:right w:w="120" w:type="dxa"/>
            </w:tcMar>
          </w:tcPr>
          <w:p>
            <w:r>
              <w:rPr>
                <w:rFonts w:ascii="Calibri" w:hAnsi="Calibri"/>
                <w:color w:val="282828"/>
                <w:sz w:val="19"/>
              </w:rPr>
              <w:t>Continuous Behavioral Intelligence: Calculates statistical anomalies, updates long-term trust scores, writes tamper-evident Merkle roots, and streams real-time telemetry to the SOC dashboard.</w:t>
            </w:r>
          </w:p>
        </w:tc>
      </w:tr>
    </w:tbl>
    <w:p>
      <w:pPr>
        <w:spacing w:after="80"/>
      </w:pPr>
    </w:p>
    <w:p>
      <w:pPr>
        <w:pStyle w:val="Heading2"/>
        <w:spacing w:before="280" w:after="120"/>
      </w:pPr>
      <w:r>
        <w:rPr>
          <w:rFonts w:ascii="Calibri" w:hAnsi="Calibri"/>
          <w:b/>
          <w:color w:val="1C508C"/>
          <w:sz w:val="28"/>
        </w:rPr>
        <w:t>3.1 How the Synchronous Critical Path is Implemented</w:t>
      </w:r>
    </w:p>
    <w:p>
      <w:r>
        <w:t>Implemented in backend/gateway/gateway.py inside the _process(env, session) method. When an agent emits an envelope (via _send() or _tool()), the workflow thread enters _process() and blocks:</w:t>
        <w:br/>
        <w:br/>
        <w:t>1. Identity &amp; Signature Verification: The Gateway extracts env.cert_pem, checks it against the local CA, verifies the RSA-PSS/SHA-256 signature, and checks the revoked certificate table in SQLite. If invalid, it immediately blocks (Rule 1).</w:t>
        <w:br/>
        <w:t>2. Provenance Chain &amp; Intent Scope Verification: The Gateway verifies that the message has a valid parent lineage leading back to the signed Intent Token. If it is a tool call, intent.check_tool_scope() checks whether the target tool and arguments match the user's original request scope (Rule 2).</w:t>
        <w:br/>
        <w:t>3. OPA Policy Engine Evaluation: Translates the action, agent role, and target resources into an OPA query input. Evaluates RBAC rules (allowed edges, allowed tools) and ABAC rules (limits, account active status, PII leakage) (Rule 3).</w:t>
        <w:br/>
        <w:t>4. Prompt Shield Inspection: Evaluates incoming messages and tool results through regex heuristic patterns and the Groq-hosted Llama Prompt Guard 2 model (86M). If high risk is detected, malicious payloads are redacted or blocked (Rule 4).</w:t>
        <w:br/>
        <w:t>5. Burst Limiter Sliding Window: Verifies that the agent has not exceeded read limits (max 20 per 60s) or write limits (max 5 per 60s) or amount velocity limits (Rs 3,00,000 per 300s) (Rule 6).</w:t>
        <w:br/>
        <w:t>6. Adaptive Decision Engine: Synthesizes all check results into a definitive verdict (APPROVE, RESTRICT, ESCALATE, BLOCK, ISOLATE). Only if the verdict is APPROVE is the envelope delivered or the Python banking tool invoked.</w:t>
      </w:r>
    </w:p>
    <w:p>
      <w:pPr>
        <w:pStyle w:val="Heading2"/>
        <w:spacing w:before="280" w:after="120"/>
      </w:pPr>
      <w:r>
        <w:rPr>
          <w:rFonts w:ascii="Calibri" w:hAnsi="Calibri"/>
          <w:b/>
          <w:color w:val="1C508C"/>
          <w:sz w:val="28"/>
        </w:rPr>
        <w:t>3.2 How the Asynchronous Analytics Track is Implemented</w:t>
      </w:r>
    </w:p>
    <w:p>
      <w:r>
        <w:t>Implemented in backend/gateway/gateway.py lines 58-116. During Gateway initialization, a thread-safe Queue and daemon thread are instantiated:</w:t>
        <w:br/>
        <w:br/>
        <w:t xml:space="preserve">   self._q = queue.Queue()</w:t>
        <w:br/>
        <w:t xml:space="preserve">   self._worker = threading.Thread(target=self._async_loop, daemon=True)</w:t>
        <w:br/>
        <w:t xml:space="preserve">   self._worker.start()</w:t>
        <w:br/>
        <w:br/>
        <w:t>When an action successfully passes the synchronous critical path, the Gateway returns the result immediately to the requesting agent, and enqueues the analytical tasks onto self._q:</w:t>
        <w:br/>
        <w:br/>
        <w:t>• Asynchronous Trust Rewards: Calling _async_good(agent, weight_key, amount) executes on the background worker thread. It updates the agent's trust score using the anti-gaming recovery formula and publishes the new score to the event bus.</w:t>
        <w:br/>
        <w:t>• Asynchronous Anomaly Analytics: self.anomaly.observe(agent, amount) updates running statistical profiles of transaction frequencies and amounts. If an outlier is detected, a background penalty is applied to the agent's trust score.</w:t>
        <w:br/>
        <w:t>• Merkle Sealing: Merkle trees are sealed every 50 events in the background, computing the root and signing it with the ledger RSA key.</w:t>
        <w:br/>
        <w:t>• Gateway Flush Barrier: The gateway().flush() method executes self._q.join(), allowing automated evaluation suites and test runners to cleanly synchronize the asynchronous track before asserting ledger consistency.</w:t>
      </w:r>
    </w:p>
    <w:p>
      <w:pPr>
        <w:pStyle w:val="Heading1"/>
        <w:spacing w:before="280" w:after="120"/>
      </w:pPr>
      <w:r>
        <w:rPr>
          <w:rFonts w:ascii="Calibri" w:hAnsi="Calibri"/>
          <w:b/>
          <w:color w:val="102C57"/>
          <w:sz w:val="36"/>
        </w:rPr>
        <w:t>4. Detailed Breakdown of Every Security Module</w:t>
      </w:r>
    </w:p>
    <w:p>
      <w:pPr>
        <w:pStyle w:val="Heading2"/>
        <w:spacing w:before="280" w:after="120"/>
      </w:pPr>
      <w:r>
        <w:rPr>
          <w:rFonts w:ascii="Calibri" w:hAnsi="Calibri"/>
          <w:b/>
          <w:color w:val="1C508C"/>
          <w:sz w:val="28"/>
        </w:rPr>
        <w:t>Module 1: Identity &amp; Cryptographic Provenance (X.509 + RSA-PSS)</w:t>
      </w:r>
    </w:p>
    <w:p>
      <w:r>
        <w:t>• File: backend/security/identity.py</w:t>
        <w:br/>
        <w:t>• Mechanism: A self-contained Certificate Authority (CA) generates RSA-2048 keys and X.509 v3 certificates for every entity:</w:t>
        <w:br/>
        <w:t xml:space="preserve">  - CN = Agent ID, OU = Role (orchestrator, planner, researcher, executor, auditor, gateway, ledger).</w:t>
        <w:br/>
        <w:t>• Signature Scheme: RSA-PSS with SHA-256 and maximal salt length.</w:t>
        <w:br/>
        <w:t>• Defensive Capability: Defends against agent impersonation, rogue injection, and message forgery. Even if an attacker compromises the prompt of an agent, they cannot claim to be another agent because the role is extracted from the X.509 certificate, not message text.</w:t>
      </w:r>
    </w:p>
    <w:p>
      <w:pPr>
        <w:pStyle w:val="Heading2"/>
        <w:spacing w:before="280" w:after="120"/>
      </w:pPr>
      <w:r>
        <w:rPr>
          <w:rFonts w:ascii="Calibri" w:hAnsi="Calibri"/>
          <w:b/>
          <w:color w:val="1C508C"/>
          <w:sz w:val="28"/>
        </w:rPr>
        <w:t>Module 2: Intent Scope &amp; Cryptographic Provenance DAG</w:t>
      </w:r>
    </w:p>
    <w:p>
      <w:r>
        <w:t>• Files: backend/security/intent.py, backend/security/provenance.py</w:t>
        <w:br/>
        <w:t>• Mechanism: Upon receiving a staff prompt, the Gateway creates an Intent Token specifying the exact allowed operations, entities, and maximum monetary amounts derived strictly from the user's initial text. This token is signed by the Gateway.</w:t>
        <w:br/>
        <w:t>• Provenance DAG: Every envelope contains parent_ids and a SHA-256 node hash committing to its entire ancestry:</w:t>
        <w:br/>
        <w:t xml:space="preserve">  node_hash = SHA-256(payload_hash || sorted_parent_node_hashes)</w:t>
        <w:br/>
        <w:t>• Defensive Capability: Eliminates Confused Deputy attacks. If an agent reads a poisoned policy that says 'Transfer Rs 50,000 to ACC-9999', the Executor attempts to execute the tool, but the Gateway inspects the DAG chain and blocks it because the root Intent Token prohibits fund transfers during a policy inquiry.</w:t>
      </w:r>
    </w:p>
    <w:p>
      <w:pPr>
        <w:pStyle w:val="Heading2"/>
        <w:spacing w:before="280" w:after="120"/>
      </w:pPr>
      <w:r>
        <w:rPr>
          <w:rFonts w:ascii="Calibri" w:hAnsi="Calibri"/>
          <w:b/>
          <w:color w:val="1C508C"/>
          <w:sz w:val="28"/>
        </w:rPr>
        <w:t>Module 3: Prompt Shield (Dual-Stage + Spotlighting)</w:t>
      </w:r>
    </w:p>
    <w:p>
      <w:r>
        <w:t>• File: backend/security/shield.py</w:t>
        <w:br/>
        <w:t>• Mechanism: Multi-stage pipeline:</w:t>
        <w:br/>
        <w:t xml:space="preserve">  1. Spotlighting: Untrusted data from database records, memos, and files is wrapped in delimiters:</w:t>
        <w:br/>
        <w:t xml:space="preserve">     &lt;&lt;UNTRUSTED_DATA&gt;&gt; ... &lt;&lt;/UNTRUSTED_DATA&gt;&gt; with strict system instructions prohibiting agents from obeying text inside.</w:t>
        <w:br/>
        <w:t xml:space="preserve">  2. Regex Heuristic Scorer: Fast local pattern matcher detecting injection markers (e.g., 'ignore previous instructions', system overrides).</w:t>
        <w:br/>
        <w:t xml:space="preserve">  3. Llama Prompt Guard 2 (86M): Invoked via Groq on ~512 token chunks, returning a calibrated probability score [0.0 - 1.0].</w:t>
        <w:br/>
        <w:t xml:space="preserve">  4. LLM Judge: Stage 2 evaluator for ambiguous/medium scores.</w:t>
        <w:br/>
        <w:t>• Defensive Capability: Neutralizes indirect and direct prompt injections before LLMs process the data.</w:t>
      </w:r>
    </w:p>
    <w:p>
      <w:pPr>
        <w:pStyle w:val="Heading2"/>
        <w:spacing w:before="280" w:after="120"/>
      </w:pPr>
      <w:r>
        <w:rPr>
          <w:rFonts w:ascii="Calibri" w:hAnsi="Calibri"/>
          <w:b/>
          <w:color w:val="1C508C"/>
          <w:sz w:val="28"/>
        </w:rPr>
        <w:t>Module 4: OPA Policy Engine (RBAC + ABAC + Action Tiers)</w:t>
      </w:r>
    </w:p>
    <w:p>
      <w:r>
        <w:t>• Files: backend/security/policy.py, policies/finsecure.rego, backend/tools/registry.py</w:t>
        <w:br/>
        <w:t>• Mechanism: Enforces declarative Open Policy Agent (Rego) rules backed by a local Python evaluator for zero-latency fallbacks.</w:t>
        <w:br/>
        <w:t>• Role-Based Access Control (RBAC): Strict communication graph (e.g., Orchestrator -&gt; Planner -&gt; Researcher -&gt; Executor -&gt; Auditor). Researcher may only call read tools; Executor may only call write tools; Planner and Orchestrator have no tool access.</w:t>
        <w:br/>
        <w:t>• Attribute-Based Access Control (ABAC): Enforces single transfer limits (Rs 1,00,000), daily account limits (Rs 2,00,000), active account status verification, minimum credit scores for loans (&gt;= 650), and strict PII prevention (prohibiting emails/phones in fraud notes).</w:t>
        <w:br/>
        <w:t>• Action Tiers:</w:t>
        <w:br/>
        <w:t xml:space="preserve">  - Tier 0: Read operations (unrestricted subject to RBAC).</w:t>
        <w:br/>
        <w:t xml:space="preserve">  - Tier 1: Reversible mutations (e.g., freeze_account, add_case_note) -&gt; executed immediately if checks pass.</w:t>
        <w:br/>
        <w:t xml:space="preserve">  - Tier 2: Irreversible mutations (e.g., transfer_funds, unfreeze_account, update_loan_status) -&gt; blocked or escalated to human review.</w:t>
      </w:r>
    </w:p>
    <w:p>
      <w:pPr>
        <w:pStyle w:val="Heading2"/>
        <w:spacing w:before="280" w:after="120"/>
      </w:pPr>
      <w:r>
        <w:rPr>
          <w:rFonts w:ascii="Calibri" w:hAnsi="Calibri"/>
          <w:b/>
          <w:color w:val="1C508C"/>
          <w:sz w:val="28"/>
        </w:rPr>
        <w:t>Module 5 &amp; 6: Burst Limiter &amp; Behavioral Trust Engine</w:t>
      </w:r>
    </w:p>
    <w:p>
      <w:r>
        <w:t>• File: backend/security/behaviour.py</w:t>
        <w:br/>
        <w:t>• Burst Limiter: Enforces sliding-window rate limits (max 20 reads/60s, max 5 writes/60s) and financial velocity limits (max Rs 3,00,000/300s). Tripping the burst limiter triggers a 120s cooldown and RESTRICT verdict.</w:t>
        <w:br/>
        <w:br/>
        <w:t>• Behavioral Trust Engine (Reputation Laundering Defense):</w:t>
        <w:br/>
        <w:t xml:space="preserve">  Standard systems use linear moving averages where an attacker can execute 40 harmless micro-actions to quickly recover trust. FinSecure implements a Non-Linear Asymmetric Trust Formula:</w:t>
        <w:br/>
        <w:br/>
        <w:t xml:space="preserve">  1. Violation Penalty (Multiplicative Decay):</w:t>
        <w:br/>
        <w:t xml:space="preserve">     T &lt;- T * (1 - s),   where s is violation severity (0.2 to 1.0).</w:t>
        <w:br/>
        <w:br/>
        <w:t xml:space="preserve">  2. Good Action Reward (Anti-Gaming Dampened Recovery):</w:t>
        <w:br/>
        <w:t xml:space="preserve">     T &lt;- min( T + [ eta0 / (1 + n_W(t)) ] * w_a * (1 - T),   C(t) )</w:t>
        <w:br/>
        <w:t xml:space="preserve">     - eta0 / (1 + n_W(t)) is the anti-gaming coefficient: packing multiple actions in window W reduces their reward.</w:t>
        <w:br/>
        <w:t xml:space="preserve">     - w_a is the action weight (read=0.01, tier-1=0.03, tier-2=0.05).</w:t>
        <w:br/>
        <w:br/>
        <w:t xml:space="preserve">  3. Time-Bounded Recovery Ceiling C(t):</w:t>
        <w:br/>
        <w:t xml:space="preserve">     C(t) = T_v + (1 - T_v) * [ 1 - exp(-(t - t_v) / tau) ]</w:t>
        <w:br/>
        <w:t xml:space="preserve">     - Limits trust recovery strictly by real elapsed time (tau = 1800s / 30 mins), making rapid reputation laundering mathematically impossible.</w:t>
      </w:r>
    </w:p>
    <w:p>
      <w:pPr>
        <w:pStyle w:val="Heading2"/>
        <w:spacing w:before="280" w:after="120"/>
      </w:pPr>
      <w:r>
        <w:rPr>
          <w:rFonts w:ascii="Calibri" w:hAnsi="Calibri"/>
          <w:b/>
          <w:color w:val="1C508C"/>
          <w:sz w:val="28"/>
        </w:rPr>
        <w:t>Module 7: Adaptive Decision Engine</w:t>
      </w:r>
    </w:p>
    <w:p>
      <w:r>
        <w:t>• File: backend/security/decision.py</w:t>
        <w:br/>
        <w:t>• Mechanism: Evaluates all synchronous checks in a deterministic, prioritized sequence (Rules 1 to 9).</w:t>
        <w:br/>
        <w:t>• Verdict Taxonomy:</w:t>
        <w:br/>
        <w:t xml:space="preserve">  - APPROVE: All checks passed; message delivered or tool executed.</w:t>
        <w:br/>
        <w:t xml:space="preserve">  - RESTRICT: Burst rate limits exceeded; action throttled.</w:t>
        <w:br/>
        <w:t xml:space="preserve">  - ESCALATE: Tier-2 action with borderline trust (0.40 - 0.70) or tainted context held for human approval.</w:t>
        <w:br/>
        <w:t xml:space="preserve">  - BLOCK: Security violation (bad signature, broken chain, out-of-scope, OPA deny, high-risk injection).</w:t>
        <w:br/>
        <w:t xml:space="preserve">  - ISOLATE: Trust score dropped below 0.20 or 3 repeated blocks; agent certificate revoked and quarantined.</w:t>
      </w:r>
    </w:p>
    <w:p>
      <w:pPr>
        <w:pStyle w:val="Heading2"/>
        <w:spacing w:before="280" w:after="120"/>
      </w:pPr>
      <w:r>
        <w:rPr>
          <w:rFonts w:ascii="Calibri" w:hAnsi="Calibri"/>
          <w:b/>
          <w:color w:val="1C508C"/>
          <w:sz w:val="28"/>
        </w:rPr>
        <w:t>Module 8: Tamper-Evident Merkle Audit Ledger</w:t>
      </w:r>
    </w:p>
    <w:p>
      <w:r>
        <w:t>• Files: backend/security/audit.py, backend/security/report.py</w:t>
        <w:br/>
        <w:t>• Mechanism: Every decision, message, and state mutation is logged as an AuditEvent. The leaf hash is computed as:</w:t>
        <w:br/>
        <w:t xml:space="preserve">  leaf_hash = SHA-256(canonical_json(seq, timestamp, event_type, actor, payload))</w:t>
        <w:br/>
        <w:t>• External Root Sealing: Every 50 events, a Merkle tree is computed over the batch. The root hash is signed by the Ledger's RSA key and appended to data/ledger_roots.jsonl outside SQLite.</w:t>
        <w:br/>
        <w:t>• Integrity Verification: The verify() algorithm recomputes all leaves from database rows, rebuilds the Merkle trees, and validates them against the signed roots file. If an insider or attacker modifies, inserts, or deletes a row in SQLite, verify() pinpoints the exact altered sequence number.</w:t>
      </w:r>
    </w:p>
    <w:p>
      <w:pPr>
        <w:pStyle w:val="Heading1"/>
        <w:spacing w:before="280" w:after="120"/>
      </w:pPr>
      <w:r>
        <w:rPr>
          <w:rFonts w:ascii="Calibri" w:hAnsi="Calibri"/>
          <w:b/>
          <w:color w:val="102C57"/>
          <w:sz w:val="36"/>
        </w:rPr>
        <w:t>5. Attack Surface Coverage &amp; Threat Mitigation</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02C57"/>
            <w:tcMar>
              <w:top w:w="120" w:type="dxa"/>
              <w:bottom w:w="120" w:type="dxa"/>
              <w:left w:w="150" w:type="dxa"/>
              <w:right w:w="150" w:type="dxa"/>
            </w:tcMar>
          </w:tcPr>
          <w:p>
            <w:pPr>
              <w:jc w:val="left"/>
            </w:pPr>
            <w:r>
              <w:rPr>
                <w:rFonts w:ascii="Calibri" w:hAnsi="Calibri"/>
                <w:b/>
                <w:color w:val="FFFFFF"/>
                <w:sz w:val="20"/>
              </w:rPr>
              <w:t>Threat Class</w:t>
            </w:r>
          </w:p>
        </w:tc>
        <w:tc>
          <w:tcPr>
            <w:tcW w:type="dxa" w:w="3744"/>
            <w:shd w:val="clear" w:color="auto" w:fill="102C57"/>
            <w:tcMar>
              <w:top w:w="120" w:type="dxa"/>
              <w:bottom w:w="120" w:type="dxa"/>
              <w:left w:w="150" w:type="dxa"/>
              <w:right w:w="150" w:type="dxa"/>
            </w:tcMar>
          </w:tcPr>
          <w:p>
            <w:pPr>
              <w:jc w:val="left"/>
            </w:pPr>
            <w:r>
              <w:rPr>
                <w:rFonts w:ascii="Calibri" w:hAnsi="Calibri"/>
                <w:b/>
                <w:color w:val="FFFFFF"/>
                <w:sz w:val="20"/>
              </w:rPr>
              <w:t>Attack Scenario</w:t>
            </w:r>
          </w:p>
        </w:tc>
        <w:tc>
          <w:tcPr>
            <w:tcW w:type="dxa" w:w="4464"/>
            <w:shd w:val="clear" w:color="auto" w:fill="102C57"/>
            <w:tcMar>
              <w:top w:w="120" w:type="dxa"/>
              <w:bottom w:w="120" w:type="dxa"/>
              <w:left w:w="150" w:type="dxa"/>
              <w:right w:w="150" w:type="dxa"/>
            </w:tcMar>
          </w:tcPr>
          <w:p>
            <w:pPr>
              <w:jc w:val="left"/>
            </w:pPr>
            <w:r>
              <w:rPr>
                <w:rFonts w:ascii="Calibri" w:hAnsi="Calibri"/>
                <w:b/>
                <w:color w:val="FFFFFF"/>
                <w:sz w:val="20"/>
              </w:rPr>
              <w:t>FinSecure Defense Mechanism</w:t>
            </w:r>
          </w:p>
        </w:tc>
      </w:tr>
      <w:tr>
        <w:tc>
          <w:tcPr>
            <w:tcW w:type="dxa" w:w="2592"/>
            <w:shd w:val="clear" w:color="auto" w:fill="FFFFFF"/>
            <w:tcMar>
              <w:top w:w="80" w:type="dxa"/>
              <w:bottom w:w="80" w:type="dxa"/>
              <w:left w:w="120" w:type="dxa"/>
              <w:right w:w="120" w:type="dxa"/>
            </w:tcMar>
          </w:tcPr>
          <w:p>
            <w:r>
              <w:rPr>
                <w:rFonts w:ascii="Calibri" w:hAnsi="Calibri"/>
                <w:color w:val="282828"/>
                <w:sz w:val="19"/>
              </w:rPr>
              <w:t>Confused Deputy</w:t>
            </w:r>
          </w:p>
        </w:tc>
        <w:tc>
          <w:tcPr>
            <w:tcW w:type="dxa" w:w="3744"/>
            <w:shd w:val="clear" w:color="auto" w:fill="FFFFFF"/>
            <w:tcMar>
              <w:top w:w="80" w:type="dxa"/>
              <w:bottom w:w="80" w:type="dxa"/>
              <w:left w:w="120" w:type="dxa"/>
              <w:right w:w="120" w:type="dxa"/>
            </w:tcMar>
          </w:tcPr>
          <w:p>
            <w:r>
              <w:rPr>
                <w:rFonts w:ascii="Calibri" w:hAnsi="Calibri"/>
                <w:color w:val="282828"/>
                <w:sz w:val="19"/>
              </w:rPr>
              <w:t>An agent reads a poisoned policy or memo instructing it to execute an unauthorized transfer.</w:t>
            </w:r>
          </w:p>
        </w:tc>
        <w:tc>
          <w:tcPr>
            <w:tcW w:type="dxa" w:w="4464"/>
            <w:shd w:val="clear" w:color="auto" w:fill="FFFFFF"/>
            <w:tcMar>
              <w:top w:w="80" w:type="dxa"/>
              <w:bottom w:w="80" w:type="dxa"/>
              <w:left w:w="120" w:type="dxa"/>
              <w:right w:w="120" w:type="dxa"/>
            </w:tcMar>
          </w:tcPr>
          <w:p>
            <w:r>
              <w:rPr>
                <w:rFonts w:ascii="Calibri" w:hAnsi="Calibri"/>
                <w:color w:val="282828"/>
                <w:sz w:val="19"/>
              </w:rPr>
              <w:t>Signed Intent Scope &amp; Provenance DAG: The root Intent Token defines allowed operations. Out-of-scope actions trigger Rule 2 BLOCK.</w:t>
            </w:r>
          </w:p>
        </w:tc>
      </w:tr>
      <w:tr>
        <w:tc>
          <w:tcPr>
            <w:tcW w:type="dxa" w:w="2592"/>
            <w:shd w:val="clear" w:color="auto" w:fill="F9FBFD"/>
            <w:tcMar>
              <w:top w:w="80" w:type="dxa"/>
              <w:bottom w:w="80" w:type="dxa"/>
              <w:left w:w="120" w:type="dxa"/>
              <w:right w:w="120" w:type="dxa"/>
            </w:tcMar>
          </w:tcPr>
          <w:p>
            <w:r>
              <w:rPr>
                <w:rFonts w:ascii="Calibri" w:hAnsi="Calibri"/>
                <w:color w:val="282828"/>
                <w:sz w:val="19"/>
              </w:rPr>
              <w:t>Reputation Laundering</w:t>
            </w:r>
          </w:p>
        </w:tc>
        <w:tc>
          <w:tcPr>
            <w:tcW w:type="dxa" w:w="3744"/>
            <w:shd w:val="clear" w:color="auto" w:fill="F9FBFD"/>
            <w:tcMar>
              <w:top w:w="80" w:type="dxa"/>
              <w:bottom w:w="80" w:type="dxa"/>
              <w:left w:w="120" w:type="dxa"/>
              <w:right w:w="120" w:type="dxa"/>
            </w:tcMar>
          </w:tcPr>
          <w:p>
            <w:r>
              <w:rPr>
                <w:rFonts w:ascii="Calibri" w:hAnsi="Calibri"/>
                <w:color w:val="282828"/>
                <w:sz w:val="19"/>
              </w:rPr>
              <w:t>An adversary compromises an agent, suffers a penalty, then spams 40 benign reads to artificially restore trust.</w:t>
            </w:r>
          </w:p>
        </w:tc>
        <w:tc>
          <w:tcPr>
            <w:tcW w:type="dxa" w:w="4464"/>
            <w:shd w:val="clear" w:color="auto" w:fill="F9FBFD"/>
            <w:tcMar>
              <w:top w:w="80" w:type="dxa"/>
              <w:bottom w:w="80" w:type="dxa"/>
              <w:left w:w="120" w:type="dxa"/>
              <w:right w:w="120" w:type="dxa"/>
            </w:tcMar>
          </w:tcPr>
          <w:p>
            <w:r>
              <w:rPr>
                <w:rFonts w:ascii="Calibri" w:hAnsi="Calibri"/>
                <w:color w:val="282828"/>
                <w:sz w:val="19"/>
              </w:rPr>
              <w:t>Anti-Gaming eta &amp; Recovery Ceiling C(t): Recovery is throttled by elapsed time tau (30 mins). Packing actions yields diminishing returns.</w:t>
            </w:r>
          </w:p>
        </w:tc>
      </w:tr>
      <w:tr>
        <w:tc>
          <w:tcPr>
            <w:tcW w:type="dxa" w:w="2592"/>
            <w:shd w:val="clear" w:color="auto" w:fill="FFFFFF"/>
            <w:tcMar>
              <w:top w:w="80" w:type="dxa"/>
              <w:bottom w:w="80" w:type="dxa"/>
              <w:left w:w="120" w:type="dxa"/>
              <w:right w:w="120" w:type="dxa"/>
            </w:tcMar>
          </w:tcPr>
          <w:p>
            <w:r>
              <w:rPr>
                <w:rFonts w:ascii="Calibri" w:hAnsi="Calibri"/>
                <w:color w:val="282828"/>
                <w:sz w:val="19"/>
              </w:rPr>
              <w:t>Post-Compromise Behavior</w:t>
            </w:r>
          </w:p>
        </w:tc>
        <w:tc>
          <w:tcPr>
            <w:tcW w:type="dxa" w:w="3744"/>
            <w:shd w:val="clear" w:color="auto" w:fill="FFFFFF"/>
            <w:tcMar>
              <w:top w:w="80" w:type="dxa"/>
              <w:bottom w:w="80" w:type="dxa"/>
              <w:left w:w="120" w:type="dxa"/>
              <w:right w:w="120" w:type="dxa"/>
            </w:tcMar>
          </w:tcPr>
          <w:p>
            <w:r>
              <w:rPr>
                <w:rFonts w:ascii="Calibri" w:hAnsi="Calibri"/>
                <w:color w:val="282828"/>
                <w:sz w:val="19"/>
              </w:rPr>
              <w:t>A compromised agent attempts rapid data exfiltration, database scraping, or account draining.</w:t>
            </w:r>
          </w:p>
        </w:tc>
        <w:tc>
          <w:tcPr>
            <w:tcW w:type="dxa" w:w="4464"/>
            <w:shd w:val="clear" w:color="auto" w:fill="FFFFFF"/>
            <w:tcMar>
              <w:top w:w="80" w:type="dxa"/>
              <w:bottom w:w="80" w:type="dxa"/>
              <w:left w:w="120" w:type="dxa"/>
              <w:right w:w="120" w:type="dxa"/>
            </w:tcMar>
          </w:tcPr>
          <w:p>
            <w:r>
              <w:rPr>
                <w:rFonts w:ascii="Calibri" w:hAnsi="Calibri"/>
                <w:color w:val="282828"/>
                <w:sz w:val="19"/>
              </w:rPr>
              <w:t>Burst Limiter &amp; Anomaly Detector: Sliding-window quotas throttle harvesting; three repeated blocks trigger automatic ISOLATION.</w:t>
            </w:r>
          </w:p>
        </w:tc>
      </w:tr>
      <w:tr>
        <w:tc>
          <w:tcPr>
            <w:tcW w:type="dxa" w:w="2592"/>
            <w:shd w:val="clear" w:color="auto" w:fill="F9FBFD"/>
            <w:tcMar>
              <w:top w:w="80" w:type="dxa"/>
              <w:bottom w:w="80" w:type="dxa"/>
              <w:left w:w="120" w:type="dxa"/>
              <w:right w:w="120" w:type="dxa"/>
            </w:tcMar>
          </w:tcPr>
          <w:p>
            <w:r>
              <w:rPr>
                <w:rFonts w:ascii="Calibri" w:hAnsi="Calibri"/>
                <w:color w:val="282828"/>
                <w:sz w:val="19"/>
              </w:rPr>
              <w:t>Audit Tampering</w:t>
            </w:r>
          </w:p>
        </w:tc>
        <w:tc>
          <w:tcPr>
            <w:tcW w:type="dxa" w:w="3744"/>
            <w:shd w:val="clear" w:color="auto" w:fill="F9FBFD"/>
            <w:tcMar>
              <w:top w:w="80" w:type="dxa"/>
              <w:bottom w:w="80" w:type="dxa"/>
              <w:left w:w="120" w:type="dxa"/>
              <w:right w:w="120" w:type="dxa"/>
            </w:tcMar>
          </w:tcPr>
          <w:p>
            <w:r>
              <w:rPr>
                <w:rFonts w:ascii="Calibri" w:hAnsi="Calibri"/>
                <w:color w:val="282828"/>
                <w:sz w:val="19"/>
              </w:rPr>
              <w:t>An insider or malicious admin alters audit records in SQLite to cover illicit transactions.</w:t>
            </w:r>
          </w:p>
        </w:tc>
        <w:tc>
          <w:tcPr>
            <w:tcW w:type="dxa" w:w="4464"/>
            <w:shd w:val="clear" w:color="auto" w:fill="F9FBFD"/>
            <w:tcMar>
              <w:top w:w="80" w:type="dxa"/>
              <w:bottom w:w="80" w:type="dxa"/>
              <w:left w:w="120" w:type="dxa"/>
              <w:right w:w="120" w:type="dxa"/>
            </w:tcMar>
          </w:tcPr>
          <w:p>
            <w:r>
              <w:rPr>
                <w:rFonts w:ascii="Calibri" w:hAnsi="Calibri"/>
                <w:color w:val="282828"/>
                <w:sz w:val="19"/>
              </w:rPr>
              <w:t>Signed Merkle Ledger: Roots are cryptographically sealed outside SQLite. Any DB row edit invalidates the Merkle inclusion proof.</w:t>
            </w:r>
          </w:p>
        </w:tc>
      </w:tr>
    </w:tbl>
    <w:p>
      <w:pPr>
        <w:spacing w:after="160"/>
      </w:pPr>
    </w:p>
    <w:p>
      <w:pPr>
        <w:pStyle w:val="Heading1"/>
        <w:spacing w:before="280" w:after="120"/>
      </w:pPr>
      <w:r>
        <w:rPr>
          <w:rFonts w:ascii="Calibri" w:hAnsi="Calibri"/>
          <w:b/>
          <w:color w:val="102C57"/>
          <w:sz w:val="36"/>
        </w:rPr>
        <w:t>6. Implementation Summary &amp; Deliverables</w:t>
      </w:r>
    </w:p>
    <w:p>
      <w:r>
        <w:t>The FinSecure architecture provides end-to-end continuous mediation across autonomous LLM multi-agent operations. By enforcing strict cryptographic identity, provenance verification, declarative policy enforcement, and non-linear behavioral trust dynamics, FinSecure guarantees that autonomous agents operate strictly within the bounds of authorized human intent.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