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23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IT 5, room 242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099310" cy="1574800"/>
                  <wp:effectExtent l="0" t="0" r="3810" b="10160"/>
                  <wp:docPr id="2" name="Picture 2" descr="KakaoTalk_20220607_014545725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akaoTalk_20220607_014545725_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IT 5, room 242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Resolving Bugs and generating more ideas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Shared all the code that we currently finished.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Helped debug each others code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possible feasibility issues with the current work-flow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a simple and feasible solution and implementation for AR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Set a date for the next meeting.</w:t>
            </w:r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EDEDA"/>
    <w:multiLevelType w:val="singleLevel"/>
    <w:tmpl w:val="17EEDE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6B71729"/>
    <w:rsid w:val="1E52180F"/>
    <w:rsid w:val="1F563E36"/>
    <w:rsid w:val="21736025"/>
    <w:rsid w:val="25BE5D7A"/>
    <w:rsid w:val="2B4A4727"/>
    <w:rsid w:val="337F21A3"/>
    <w:rsid w:val="43A9598B"/>
    <w:rsid w:val="4C4A665F"/>
    <w:rsid w:val="5C242AB8"/>
    <w:rsid w:val="5C981F16"/>
    <w:rsid w:val="668B1CA1"/>
    <w:rsid w:val="681805E4"/>
    <w:rsid w:val="718C1611"/>
    <w:rsid w:val="7C1D1976"/>
    <w:rsid w:val="7C1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2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2022-06-07T11:08:48Z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587F49C5F7864190B4B49B08CA450689</vt:lpwstr>
  </property>
</Properties>
</file>