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：一种多协议工业设备数据的统一采集与实时监控方法及系统</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w:t>
      </w:r>
    </w:p>
    <w:p>
      <w:pPr>
        <w:pStyle w:val="ListBullet"/>
        <w:spacing w:after="60"/>
      </w:pPr>
      <w:r>
        <w:rPr>
          <w:rFonts w:ascii="宋体" w:hAnsi="宋体" w:eastAsia="宋体"/>
          <w:sz w:val="21"/>
        </w:rPr>
        <w:t>电话：</w:t>
      </w:r>
    </w:p>
    <w:p>
      <w:pPr>
        <w:pStyle w:val="ListBullet"/>
        <w:spacing w:after="60"/>
      </w:pPr>
      <w:r>
        <w:rPr>
          <w:rFonts w:ascii="宋体" w:hAnsi="宋体" w:eastAsia="宋体"/>
          <w:sz w:val="21"/>
        </w:rPr>
        <w:t>邮箱：</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pStyle w:val="Heading2"/>
      </w:pPr>
      <w:r>
        <w:rPr>
          <w:rFonts w:ascii="黑体" w:hAnsi="黑体" w:eastAsia="黑体"/>
        </w:rPr>
        <w:t>一、介绍相关技术背景，描述与本发明技术最相近的现有技术，并说明该现有技术存在的缺点</w:t>
      </w:r>
    </w:p>
    <w:p>
      <w:pPr>
        <w:pStyle w:val="Heading3"/>
      </w:pPr>
      <w:r>
        <w:rPr>
          <w:rFonts w:ascii="宋体" w:hAnsi="宋体" w:eastAsia="宋体"/>
        </w:rPr>
        <w:t>1.1 现有技术</w:t>
      </w:r>
    </w:p>
    <w:p>
      <w:pPr>
        <w:pStyle w:val="Heading4"/>
      </w:pPr>
      <w:r>
        <w:rPr>
          <w:rFonts w:ascii="宋体" w:hAnsi="宋体" w:eastAsia="宋体"/>
        </w:rPr>
        <w:t>1.1.1 检索说明</w:t>
      </w:r>
    </w:p>
    <w:p>
      <w:pPr>
        <w:spacing w:after="120" w:line="276" w:lineRule="auto"/>
      </w:pPr>
      <w:r>
        <w:rPr>
          <w:rFonts w:ascii="宋体" w:hAnsi="宋体" w:eastAsia="宋体"/>
          <w:sz w:val="21"/>
        </w:rPr>
        <w:t>本次检索以 Google Patents 等公开专利数据库为公开核验渠道，使用“工业设备、多协议、统一数据模型、实时监控、差分推送、高频数据、浏览器流式处理、列式分析”等关键词及其组合进行检索。以下文献均已通过公开号页面核验，技术方案与局限性根据公开摘要和说明书内容概括。</w:t>
      </w:r>
    </w:p>
    <w:p>
      <w:pPr>
        <w:pStyle w:val="Heading4"/>
      </w:pPr>
      <w:r>
        <w:rPr>
          <w:rFonts w:ascii="宋体" w:hAnsi="宋体" w:eastAsia="宋体"/>
        </w:rPr>
        <w:t>1.1.2 多协议接入与标准化数据接口</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sz w:val="20"/>
              </w:rPr>
            </w:r>
            <w:r>
              <w:rPr>
                <w:rFonts w:ascii="宋体" w:hAnsi="宋体" w:eastAsia="宋体"/>
                <w:sz w:val="20"/>
              </w:rPr>
              <w:t>公开文献</w:t>
            </w:r>
          </w:p>
        </w:tc>
        <w:tc>
          <w:tcPr>
            <w:tcW w:type="dxa" w:w="1728"/>
          </w:tcPr>
          <w:p>
            <w:r>
              <w:rPr>
                <w:rFonts w:ascii="宋体" w:hAnsi="宋体" w:eastAsia="宋体"/>
                <w:sz w:val="20"/>
              </w:rPr>
            </w:r>
            <w:r>
              <w:rPr>
                <w:rFonts w:ascii="宋体" w:hAnsi="宋体" w:eastAsia="宋体"/>
                <w:sz w:val="20"/>
              </w:rPr>
              <w:t>已公开的主要技术方案</w:t>
            </w:r>
          </w:p>
        </w:tc>
        <w:tc>
          <w:tcPr>
            <w:tcW w:type="dxa" w:w="1728"/>
          </w:tcPr>
          <w:p>
            <w:r>
              <w:rPr>
                <w:rFonts w:ascii="宋体" w:hAnsi="宋体" w:eastAsia="宋体"/>
                <w:sz w:val="20"/>
              </w:rPr>
            </w:r>
            <w:r>
              <w:rPr>
                <w:rFonts w:ascii="宋体" w:hAnsi="宋体" w:eastAsia="宋体"/>
                <w:sz w:val="20"/>
              </w:rPr>
              <w:t>适用场景</w:t>
            </w:r>
          </w:p>
        </w:tc>
        <w:tc>
          <w:tcPr>
            <w:tcW w:type="dxa" w:w="1728"/>
          </w:tcPr>
          <w:p>
            <w:r>
              <w:rPr>
                <w:rFonts w:ascii="宋体" w:hAnsi="宋体" w:eastAsia="宋体"/>
                <w:sz w:val="20"/>
              </w:rPr>
            </w:r>
            <w:r>
              <w:rPr>
                <w:rFonts w:ascii="宋体" w:hAnsi="宋体" w:eastAsia="宋体"/>
                <w:sz w:val="20"/>
              </w:rPr>
              <w:t>相对于本发明主线的局限</w:t>
            </w:r>
          </w:p>
        </w:tc>
        <w:tc>
          <w:tcPr>
            <w:tcW w:type="dxa" w:w="1728"/>
          </w:tcPr>
          <w:p>
            <w:r>
              <w:rPr>
                <w:rFonts w:ascii="宋体" w:hAnsi="宋体" w:eastAsia="宋体"/>
                <w:sz w:val="20"/>
              </w:rPr>
            </w:r>
            <w:r>
              <w:rPr>
                <w:rFonts w:ascii="宋体" w:hAnsi="宋体" w:eastAsia="宋体"/>
                <w:sz w:val="20"/>
              </w:rPr>
              <w:t>公开源 URL</w:t>
            </w:r>
          </w:p>
        </w:tc>
      </w:tr>
      <w:tr>
        <w:tc>
          <w:tcPr>
            <w:tcW w:type="dxa" w:w="1728"/>
          </w:tcPr>
          <w:p>
            <w:r>
              <w:rPr>
                <w:rFonts w:ascii="宋体" w:hAnsi="宋体" w:eastAsia="宋体"/>
                <w:sz w:val="20"/>
              </w:rPr>
            </w:r>
            <w:r>
              <w:rPr>
                <w:rFonts w:ascii="宋体" w:hAnsi="宋体" w:eastAsia="宋体"/>
                <w:sz w:val="20"/>
              </w:rPr>
              <w:t>CN111427321A，一种兼容多协议的 MES 数据采集系统及其方法</w:t>
            </w:r>
          </w:p>
        </w:tc>
        <w:tc>
          <w:tcPr>
            <w:tcW w:type="dxa" w:w="1728"/>
          </w:tcPr>
          <w:p>
            <w:r>
              <w:rPr>
                <w:rFonts w:ascii="宋体" w:hAnsi="宋体" w:eastAsia="宋体"/>
                <w:sz w:val="20"/>
              </w:rPr>
            </w:r>
            <w:r>
              <w:rPr>
                <w:rFonts w:ascii="宋体" w:hAnsi="宋体" w:eastAsia="宋体"/>
                <w:sz w:val="20"/>
              </w:rPr>
              <w:t>在数据采集程序中预置或扩展多种协议接口，将不同设备数据解析为名称、类型、发送时间和实际数据等标准格式，再通过标准化接口送入 MES</w:t>
            </w:r>
          </w:p>
        </w:tc>
        <w:tc>
          <w:tcPr>
            <w:tcW w:type="dxa" w:w="1728"/>
          </w:tcPr>
          <w:p>
            <w:r>
              <w:rPr>
                <w:rFonts w:ascii="宋体" w:hAnsi="宋体" w:eastAsia="宋体"/>
                <w:sz w:val="20"/>
              </w:rPr>
            </w:r>
            <w:r>
              <w:rPr>
                <w:rFonts w:ascii="宋体" w:hAnsi="宋体" w:eastAsia="宋体"/>
                <w:sz w:val="20"/>
              </w:rPr>
              <w:t>数字化车间的多协议设备接入</w:t>
            </w:r>
          </w:p>
        </w:tc>
        <w:tc>
          <w:tcPr>
            <w:tcW w:type="dxa" w:w="1728"/>
          </w:tcPr>
          <w:p>
            <w:r>
              <w:rPr>
                <w:rFonts w:ascii="宋体" w:hAnsi="宋体" w:eastAsia="宋体"/>
                <w:sz w:val="20"/>
              </w:rPr>
            </w:r>
            <w:r>
              <w:rPr>
                <w:rFonts w:ascii="宋体" w:hAnsi="宋体" w:eastAsia="宋体"/>
                <w:sz w:val="20"/>
              </w:rPr>
              <w:t>已公开“多协议采集程序+标准化接口”，但未公开从协议差异化读块、统一点状态、多语义实时缓存，到首次全量快照、后续状态差分、浏览器刷新窗口合并及列式流式表增量更新的连续处理链</w:t>
            </w:r>
          </w:p>
        </w:tc>
        <w:tc>
          <w:tcPr>
            <w:tcW w:type="dxa" w:w="1728"/>
          </w:tcPr>
          <w:p>
            <w:r>
              <w:rPr>
                <w:rFonts w:ascii="宋体" w:hAnsi="宋体" w:eastAsia="宋体"/>
                <w:sz w:val="20"/>
              </w:rPr>
            </w:r>
            <w:r>
              <w:rPr>
                <w:rFonts w:ascii="宋体" w:hAnsi="宋体" w:eastAsia="宋体"/>
                <w:sz w:val="20"/>
              </w:rPr>
              <w:t>https://patents.google.com/patent/CN111427321A/zh</w:t>
            </w:r>
          </w:p>
        </w:tc>
      </w:tr>
      <w:tr>
        <w:tc>
          <w:tcPr>
            <w:tcW w:type="dxa" w:w="1728"/>
          </w:tcPr>
          <w:p>
            <w:r>
              <w:rPr>
                <w:rFonts w:ascii="宋体" w:hAnsi="宋体" w:eastAsia="宋体"/>
                <w:sz w:val="20"/>
              </w:rPr>
            </w:r>
            <w:r>
              <w:rPr>
                <w:rFonts w:ascii="宋体" w:hAnsi="宋体" w:eastAsia="宋体"/>
                <w:sz w:val="20"/>
              </w:rPr>
              <w:t>CN115981253A，适用于火电厂多协议数据采集与数据回写的数据处理系统</w:t>
            </w:r>
          </w:p>
        </w:tc>
        <w:tc>
          <w:tcPr>
            <w:tcW w:type="dxa" w:w="1728"/>
          </w:tcPr>
          <w:p>
            <w:r>
              <w:rPr>
                <w:rFonts w:ascii="宋体" w:hAnsi="宋体" w:eastAsia="宋体"/>
                <w:sz w:val="20"/>
              </w:rPr>
            </w:r>
            <w:r>
              <w:rPr>
                <w:rFonts w:ascii="宋体" w:hAnsi="宋体" w:eastAsia="宋体"/>
                <w:sz w:val="20"/>
              </w:rPr>
              <w:t>将 OPC DA、MODBUS、IEC104、IEC102 等协议转换为统一发布订阅消息，经数据网关写入树形实时数据库，并支持数据回写</w:t>
            </w:r>
          </w:p>
        </w:tc>
        <w:tc>
          <w:tcPr>
            <w:tcW w:type="dxa" w:w="1728"/>
          </w:tcPr>
          <w:p>
            <w:r>
              <w:rPr>
                <w:rFonts w:ascii="宋体" w:hAnsi="宋体" w:eastAsia="宋体"/>
                <w:sz w:val="20"/>
              </w:rPr>
            </w:r>
            <w:r>
              <w:rPr>
                <w:rFonts w:ascii="宋体" w:hAnsi="宋体" w:eastAsia="宋体"/>
                <w:sz w:val="20"/>
              </w:rPr>
              <w:t>火电厂多生产系统数据汇聚</w:t>
            </w:r>
          </w:p>
        </w:tc>
        <w:tc>
          <w:tcPr>
            <w:tcW w:type="dxa" w:w="1728"/>
          </w:tcPr>
          <w:p>
            <w:r>
              <w:rPr>
                <w:rFonts w:ascii="宋体" w:hAnsi="宋体" w:eastAsia="宋体"/>
                <w:sz w:val="20"/>
              </w:rPr>
            </w:r>
            <w:r>
              <w:rPr>
                <w:rFonts w:ascii="宋体" w:hAnsi="宋体" w:eastAsia="宋体"/>
                <w:sz w:val="20"/>
              </w:rPr>
              <w:t>着重于协议转换、消息发布订阅、树形数据库和回写，未公开面向高频网页监控的快照/差分状态传播、前端双缓冲以及浏览器侧列式增量分析机制</w:t>
            </w:r>
          </w:p>
        </w:tc>
        <w:tc>
          <w:tcPr>
            <w:tcW w:type="dxa" w:w="1728"/>
          </w:tcPr>
          <w:p>
            <w:r>
              <w:rPr>
                <w:rFonts w:ascii="宋体" w:hAnsi="宋体" w:eastAsia="宋体"/>
                <w:sz w:val="20"/>
              </w:rPr>
            </w:r>
            <w:r>
              <w:rPr>
                <w:rFonts w:ascii="宋体" w:hAnsi="宋体" w:eastAsia="宋体"/>
                <w:sz w:val="20"/>
              </w:rPr>
              <w:t>https://patents.google.com/patent/CN115981253A/zh</w:t>
            </w:r>
          </w:p>
        </w:tc>
      </w:tr>
      <w:tr>
        <w:tc>
          <w:tcPr>
            <w:tcW w:type="dxa" w:w="1728"/>
          </w:tcPr>
          <w:p>
            <w:r>
              <w:rPr>
                <w:rFonts w:ascii="宋体" w:hAnsi="宋体" w:eastAsia="宋体"/>
                <w:sz w:val="20"/>
              </w:rPr>
            </w:r>
            <w:r>
              <w:rPr>
                <w:rFonts w:ascii="宋体" w:hAnsi="宋体" w:eastAsia="宋体"/>
                <w:sz w:val="20"/>
              </w:rPr>
              <w:t>CN118101791A，一种基于多协议设备接入的物联网数据处理系统</w:t>
            </w:r>
          </w:p>
        </w:tc>
        <w:tc>
          <w:tcPr>
            <w:tcW w:type="dxa" w:w="1728"/>
          </w:tcPr>
          <w:p>
            <w:r>
              <w:rPr>
                <w:rFonts w:ascii="宋体" w:hAnsi="宋体" w:eastAsia="宋体"/>
                <w:sz w:val="20"/>
              </w:rPr>
            </w:r>
            <w:r>
              <w:rPr>
                <w:rFonts w:ascii="宋体" w:hAnsi="宋体" w:eastAsia="宋体"/>
                <w:sz w:val="20"/>
              </w:rPr>
              <w:t>设置多协议自适应数据融合、采集处理、实时/历史存储、网页监控展示及 API 模块，并将多种协议转换成统一消息协议</w:t>
            </w:r>
          </w:p>
        </w:tc>
        <w:tc>
          <w:tcPr>
            <w:tcW w:type="dxa" w:w="1728"/>
          </w:tcPr>
          <w:p>
            <w:r>
              <w:rPr>
                <w:rFonts w:ascii="宋体" w:hAnsi="宋体" w:eastAsia="宋体"/>
                <w:sz w:val="20"/>
              </w:rPr>
            </w:r>
            <w:r>
              <w:rPr>
                <w:rFonts w:ascii="宋体" w:hAnsi="宋体" w:eastAsia="宋体"/>
                <w:sz w:val="20"/>
              </w:rPr>
              <w:t>物联网设备接入、远程监控与管理</w:t>
            </w:r>
          </w:p>
        </w:tc>
        <w:tc>
          <w:tcPr>
            <w:tcW w:type="dxa" w:w="1728"/>
          </w:tcPr>
          <w:p>
            <w:r>
              <w:rPr>
                <w:rFonts w:ascii="宋体" w:hAnsi="宋体" w:eastAsia="宋体"/>
                <w:sz w:val="20"/>
              </w:rPr>
            </w:r>
            <w:r>
              <w:rPr>
                <w:rFonts w:ascii="宋体" w:hAnsi="宋体" w:eastAsia="宋体"/>
                <w:sz w:val="20"/>
              </w:rPr>
              <w:t>已概括多协议、存储和 WEB 展示的组合，但实时展示仅作功能性描述；未给出设备点状态差分、用户刷新周期内的按点合并、完整趋势记录批次及列式工作线程增量更新之间的约束关系</w:t>
            </w:r>
          </w:p>
        </w:tc>
        <w:tc>
          <w:tcPr>
            <w:tcW w:type="dxa" w:w="1728"/>
          </w:tcPr>
          <w:p>
            <w:r>
              <w:rPr>
                <w:rFonts w:ascii="宋体" w:hAnsi="宋体" w:eastAsia="宋体"/>
                <w:sz w:val="20"/>
              </w:rPr>
            </w:r>
            <w:r>
              <w:rPr>
                <w:rFonts w:ascii="宋体" w:hAnsi="宋体" w:eastAsia="宋体"/>
                <w:sz w:val="20"/>
              </w:rPr>
              <w:t>https://patents.google.com/patent/CN118101791A/zh</w:t>
            </w:r>
          </w:p>
        </w:tc>
      </w:tr>
    </w:tbl>
    <w:p>
      <w:pPr>
        <w:pStyle w:val="Heading4"/>
      </w:pPr>
      <w:r>
        <w:rPr>
          <w:rFonts w:ascii="宋体" w:hAnsi="宋体" w:eastAsia="宋体"/>
        </w:rPr>
        <w:t>1.1.3 高频工业数据传输与实时监控</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sz w:val="20"/>
              </w:rPr>
            </w:r>
            <w:r>
              <w:rPr>
                <w:rFonts w:ascii="宋体" w:hAnsi="宋体" w:eastAsia="宋体"/>
                <w:sz w:val="20"/>
              </w:rPr>
              <w:t>公开文献</w:t>
            </w:r>
          </w:p>
        </w:tc>
        <w:tc>
          <w:tcPr>
            <w:tcW w:type="dxa" w:w="1728"/>
          </w:tcPr>
          <w:p>
            <w:r>
              <w:rPr>
                <w:rFonts w:ascii="宋体" w:hAnsi="宋体" w:eastAsia="宋体"/>
                <w:sz w:val="20"/>
              </w:rPr>
            </w:r>
            <w:r>
              <w:rPr>
                <w:rFonts w:ascii="宋体" w:hAnsi="宋体" w:eastAsia="宋体"/>
                <w:sz w:val="20"/>
              </w:rPr>
              <w:t>已公开的主要技术方案</w:t>
            </w:r>
          </w:p>
        </w:tc>
        <w:tc>
          <w:tcPr>
            <w:tcW w:type="dxa" w:w="1728"/>
          </w:tcPr>
          <w:p>
            <w:r>
              <w:rPr>
                <w:rFonts w:ascii="宋体" w:hAnsi="宋体" w:eastAsia="宋体"/>
                <w:sz w:val="20"/>
              </w:rPr>
            </w:r>
            <w:r>
              <w:rPr>
                <w:rFonts w:ascii="宋体" w:hAnsi="宋体" w:eastAsia="宋体"/>
                <w:sz w:val="20"/>
              </w:rPr>
              <w:t>适用场景</w:t>
            </w:r>
          </w:p>
        </w:tc>
        <w:tc>
          <w:tcPr>
            <w:tcW w:type="dxa" w:w="1728"/>
          </w:tcPr>
          <w:p>
            <w:r>
              <w:rPr>
                <w:rFonts w:ascii="宋体" w:hAnsi="宋体" w:eastAsia="宋体"/>
                <w:sz w:val="20"/>
              </w:rPr>
            </w:r>
            <w:r>
              <w:rPr>
                <w:rFonts w:ascii="宋体" w:hAnsi="宋体" w:eastAsia="宋体"/>
                <w:sz w:val="20"/>
              </w:rPr>
              <w:t>相对于本发明主线的局限</w:t>
            </w:r>
          </w:p>
        </w:tc>
        <w:tc>
          <w:tcPr>
            <w:tcW w:type="dxa" w:w="1728"/>
          </w:tcPr>
          <w:p>
            <w:r>
              <w:rPr>
                <w:rFonts w:ascii="宋体" w:hAnsi="宋体" w:eastAsia="宋体"/>
                <w:sz w:val="20"/>
              </w:rPr>
            </w:r>
            <w:r>
              <w:rPr>
                <w:rFonts w:ascii="宋体" w:hAnsi="宋体" w:eastAsia="宋体"/>
                <w:sz w:val="20"/>
              </w:rPr>
              <w:t>公开源 URL</w:t>
            </w:r>
          </w:p>
        </w:tc>
      </w:tr>
      <w:tr>
        <w:tc>
          <w:tcPr>
            <w:tcW w:type="dxa" w:w="1728"/>
          </w:tcPr>
          <w:p>
            <w:r>
              <w:rPr>
                <w:rFonts w:ascii="宋体" w:hAnsi="宋体" w:eastAsia="宋体"/>
                <w:sz w:val="20"/>
              </w:rPr>
            </w:r>
            <w:r>
              <w:rPr>
                <w:rFonts w:ascii="宋体" w:hAnsi="宋体" w:eastAsia="宋体"/>
                <w:sz w:val="20"/>
              </w:rPr>
              <w:t>CN105549556A，一种用于工业过程实时监控的数据采集传输系统及方法</w:t>
            </w:r>
          </w:p>
        </w:tc>
        <w:tc>
          <w:tcPr>
            <w:tcW w:type="dxa" w:w="1728"/>
          </w:tcPr>
          <w:p>
            <w:r>
              <w:rPr>
                <w:rFonts w:ascii="宋体" w:hAnsi="宋体" w:eastAsia="宋体"/>
                <w:sz w:val="20"/>
              </w:rPr>
            </w:r>
            <w:r>
              <w:rPr>
                <w:rFonts w:ascii="宋体" w:hAnsi="宋体" w:eastAsia="宋体"/>
                <w:sz w:val="20"/>
              </w:rPr>
              <w:t>对高频工业数据进行编号、类型判断和传输，支持广播、多播、订阅以及缺失数据补传，以减少带宽并提高实时性和可靠性</w:t>
            </w:r>
          </w:p>
        </w:tc>
        <w:tc>
          <w:tcPr>
            <w:tcW w:type="dxa" w:w="1728"/>
          </w:tcPr>
          <w:p>
            <w:r>
              <w:rPr>
                <w:rFonts w:ascii="宋体" w:hAnsi="宋体" w:eastAsia="宋体"/>
                <w:sz w:val="20"/>
              </w:rPr>
            </w:r>
            <w:r>
              <w:rPr>
                <w:rFonts w:ascii="宋体" w:hAnsi="宋体" w:eastAsia="宋体"/>
                <w:sz w:val="20"/>
              </w:rPr>
              <w:t>工业现场到云端、移动终端的实时监控</w:t>
            </w:r>
          </w:p>
        </w:tc>
        <w:tc>
          <w:tcPr>
            <w:tcW w:type="dxa" w:w="1728"/>
          </w:tcPr>
          <w:p>
            <w:r>
              <w:rPr>
                <w:rFonts w:ascii="宋体" w:hAnsi="宋体" w:eastAsia="宋体"/>
                <w:sz w:val="20"/>
              </w:rPr>
            </w:r>
            <w:r>
              <w:rPr>
                <w:rFonts w:ascii="宋体" w:hAnsi="宋体" w:eastAsia="宋体"/>
                <w:sz w:val="20"/>
              </w:rPr>
              <w:t>重点为编号、传输连续性和移动订阅；未解决多种工业协议在同一平台内统一建模后，如何将服务端状态增量与浏览器侧流式分析表协同更新</w:t>
            </w:r>
          </w:p>
        </w:tc>
        <w:tc>
          <w:tcPr>
            <w:tcW w:type="dxa" w:w="1728"/>
          </w:tcPr>
          <w:p>
            <w:r>
              <w:rPr>
                <w:rFonts w:ascii="宋体" w:hAnsi="宋体" w:eastAsia="宋体"/>
                <w:sz w:val="20"/>
              </w:rPr>
            </w:r>
            <w:r>
              <w:rPr>
                <w:rFonts w:ascii="宋体" w:hAnsi="宋体" w:eastAsia="宋体"/>
                <w:sz w:val="20"/>
              </w:rPr>
              <w:t>https://patents.google.com/patent/CN105549556A/zh</w:t>
            </w:r>
          </w:p>
        </w:tc>
      </w:tr>
      <w:tr>
        <w:tc>
          <w:tcPr>
            <w:tcW w:type="dxa" w:w="1728"/>
          </w:tcPr>
          <w:p>
            <w:r>
              <w:rPr>
                <w:rFonts w:ascii="宋体" w:hAnsi="宋体" w:eastAsia="宋体"/>
                <w:sz w:val="20"/>
              </w:rPr>
            </w:r>
            <w:r>
              <w:rPr>
                <w:rFonts w:ascii="宋体" w:hAnsi="宋体" w:eastAsia="宋体"/>
                <w:sz w:val="20"/>
              </w:rPr>
              <w:t>CN109656210B，工业数据采集方法、系统及主系统</w:t>
            </w:r>
          </w:p>
        </w:tc>
        <w:tc>
          <w:tcPr>
            <w:tcW w:type="dxa" w:w="1728"/>
          </w:tcPr>
          <w:p>
            <w:r>
              <w:rPr>
                <w:rFonts w:ascii="宋体" w:hAnsi="宋体" w:eastAsia="宋体"/>
                <w:sz w:val="20"/>
              </w:rPr>
            </w:r>
            <w:r>
              <w:rPr>
                <w:rFonts w:ascii="宋体" w:hAnsi="宋体" w:eastAsia="宋体"/>
                <w:sz w:val="20"/>
              </w:rPr>
              <w:t>对新增数据点进行标记、序列化并上传云端，根据同步指令使数据模型与新增点同步</w:t>
            </w:r>
          </w:p>
        </w:tc>
        <w:tc>
          <w:tcPr>
            <w:tcW w:type="dxa" w:w="1728"/>
          </w:tcPr>
          <w:p>
            <w:r>
              <w:rPr>
                <w:rFonts w:ascii="宋体" w:hAnsi="宋体" w:eastAsia="宋体"/>
                <w:sz w:val="20"/>
              </w:rPr>
            </w:r>
            <w:r>
              <w:rPr>
                <w:rFonts w:ascii="宋体" w:hAnsi="宋体" w:eastAsia="宋体"/>
                <w:sz w:val="20"/>
              </w:rPr>
              <w:t>OPC 数据点接入与云端模型同步</w:t>
            </w:r>
          </w:p>
        </w:tc>
        <w:tc>
          <w:tcPr>
            <w:tcW w:type="dxa" w:w="1728"/>
          </w:tcPr>
          <w:p>
            <w:r>
              <w:rPr>
                <w:rFonts w:ascii="宋体" w:hAnsi="宋体" w:eastAsia="宋体"/>
                <w:sz w:val="20"/>
              </w:rPr>
            </w:r>
            <w:r>
              <w:rPr>
                <w:rFonts w:ascii="宋体" w:hAnsi="宋体" w:eastAsia="宋体"/>
                <w:sz w:val="20"/>
              </w:rPr>
              <w:t>着重于新增点模型同步及云端应答，未公开针对连续高频点值的首次快照、后续差分和浏览器列式增量渲染链路</w:t>
            </w:r>
          </w:p>
        </w:tc>
        <w:tc>
          <w:tcPr>
            <w:tcW w:type="dxa" w:w="1728"/>
          </w:tcPr>
          <w:p>
            <w:r>
              <w:rPr>
                <w:rFonts w:ascii="宋体" w:hAnsi="宋体" w:eastAsia="宋体"/>
                <w:sz w:val="20"/>
              </w:rPr>
            </w:r>
            <w:r>
              <w:rPr>
                <w:rFonts w:ascii="宋体" w:hAnsi="宋体" w:eastAsia="宋体"/>
                <w:sz w:val="20"/>
              </w:rPr>
              <w:t>https://patents.google.com/patent/CN109656210B/zh</w:t>
            </w:r>
          </w:p>
        </w:tc>
      </w:tr>
    </w:tbl>
    <w:p>
      <w:pPr>
        <w:pStyle w:val="Heading4"/>
      </w:pPr>
      <w:r>
        <w:rPr>
          <w:rFonts w:ascii="宋体" w:hAnsi="宋体" w:eastAsia="宋体"/>
        </w:rPr>
        <w:t>1.1.4 检索总结及本发明的本质区别</w:t>
      </w:r>
    </w:p>
    <w:p>
      <w:pPr>
        <w:spacing w:after="120" w:line="276" w:lineRule="auto"/>
      </w:pPr>
      <w:r>
        <w:rPr>
          <w:rFonts w:ascii="宋体" w:hAnsi="宋体" w:eastAsia="宋体"/>
          <w:sz w:val="21"/>
        </w:rPr>
        <w:t>检索表明，“支持多种工业协议”“转换为统一格式”“将实时数据显示在网页”分别均属于已有技术方向。因此，本发明不把上述孤立功能本身作为唯一创新点，也不把某一第三方图表组件作为发明对象。本发明的本质区别在于：围绕同一统一点标识和点状态元组，建立贯穿协议采集、实时缓存、服务端状态传播和浏览器列式处理的协同链路；该链路将协议特有的读取方式收敛为统一点记录，在订阅建立时发送全量状态快照，之后按状态元组变化形成差分集合；浏览器将差分集合分别写入按点覆盖的当前值缓冲和保序的趋势记录缓冲，并按用户刷新周期一次性更新界面状态和浏览器侧列式流式表。由此，在保持多协议设备统一呈现的同时，控制高频更新对网络、主线程和图表渲染的冲击。</w:t>
      </w:r>
    </w:p>
    <w:p>
      <w:pPr>
        <w:pStyle w:val="Heading3"/>
      </w:pPr>
      <w:r>
        <w:rPr>
          <w:rFonts w:ascii="宋体" w:hAnsi="宋体" w:eastAsia="宋体"/>
        </w:rPr>
        <w:t>1.2 现有技术存在的缺点</w:t>
      </w:r>
    </w:p>
    <w:p>
      <w:pPr>
        <w:spacing w:after="120" w:line="276" w:lineRule="auto"/>
      </w:pPr>
      <w:r>
        <w:rPr>
          <w:rFonts w:ascii="宋体" w:hAnsi="宋体" w:eastAsia="宋体"/>
          <w:sz w:val="21"/>
        </w:rPr>
        <w:t>（1）多协议接入常停留在协议转换或统一接口层。不同协议的地址组织、连续读取能力、采样周期和外部推送方式差异较大，若仅在出口处转换格式，仍可能产生大量离散读取任务、重复配置和不一致的点状态语义。</w:t>
      </w:r>
    </w:p>
    <w:p>
      <w:pPr>
        <w:spacing w:after="120" w:line="276" w:lineRule="auto"/>
      </w:pPr>
      <w:r>
        <w:rPr>
          <w:rFonts w:ascii="宋体" w:hAnsi="宋体" w:eastAsia="宋体"/>
          <w:sz w:val="21"/>
        </w:rPr>
        <w:t>（2）“实时网页展示”常被作为一个笼统模块描述，缺少服务端和浏览器之间的状态同步规则。持续发送完整数据集会增加序列化、网络传输和浏览器解析负担；只发送增量又容易在首次订阅或重连时缺少基线状态。</w:t>
      </w:r>
    </w:p>
    <w:p>
      <w:pPr>
        <w:spacing w:after="120" w:line="276" w:lineRule="auto"/>
      </w:pPr>
      <w:r>
        <w:rPr>
          <w:rFonts w:ascii="宋体" w:hAnsi="宋体" w:eastAsia="宋体"/>
          <w:sz w:val="21"/>
        </w:rPr>
        <w:t>（3）高频消息到达频率与用户希望看到的界面刷新频率并不相同。若每条消息都立即修改响应式状态并重绘图表，浏览器主线程容易被高频更新占用；若简单丢弃中间消息，又会损失趋势分析所需的时序记录。</w:t>
      </w:r>
    </w:p>
    <w:p>
      <w:pPr>
        <w:spacing w:after="120" w:line="276" w:lineRule="auto"/>
      </w:pPr>
      <w:r>
        <w:rPr>
          <w:rFonts w:ascii="宋体" w:hAnsi="宋体" w:eastAsia="宋体"/>
          <w:sz w:val="21"/>
        </w:rPr>
        <w:t>（4）传统前端图表常以完整数组替换或全量重算方式更新，大量点位、高采样频率和长时间运行叠加时，数据复制、聚合和绘制开销持续增长。</w:t>
      </w:r>
    </w:p>
    <w:p>
      <w:pPr>
        <w:spacing w:after="120" w:line="276" w:lineRule="auto"/>
      </w:pPr>
      <w:r>
        <w:rPr>
          <w:rFonts w:ascii="宋体" w:hAnsi="宋体" w:eastAsia="宋体"/>
          <w:sz w:val="21"/>
        </w:rPr>
        <w:t>（5）设备配置热更新、采集任务并发和异步写入同时存在时，旧配置任务可能在新配置生效后继续写入；若实时最新值先于窗口或持久化流写入，还可能向监控端暴露一个尚未完成下游处理的批次。</w:t>
      </w:r>
    </w:p>
    <w:p>
      <w:pPr>
        <w:spacing w:after="120" w:line="276" w:lineRule="auto"/>
      </w:pPr>
      <w:r>
        <w:rPr>
          <w:rFonts w:ascii="宋体" w:hAnsi="宋体" w:eastAsia="宋体"/>
          <w:sz w:val="21"/>
        </w:rPr>
        <w:t>（6）持久化失败若直接确认消息会造成数据丢失，若所有失败无限重试又会让明确坏数据长期阻塞消费队列，影响后续正常数据。</w:t>
      </w:r>
    </w:p>
    <w:p>
      <w:pPr>
        <w:pStyle w:val="Heading2"/>
      </w:pPr>
      <w:r>
        <w:rPr>
          <w:rFonts w:ascii="黑体" w:hAnsi="黑体" w:eastAsia="黑体"/>
        </w:rPr>
        <w:t>二、针对上述缺点，说明本发明所要解决的技术问题</w:t>
      </w:r>
    </w:p>
    <w:p>
      <w:pPr>
        <w:spacing w:after="120" w:line="276" w:lineRule="auto"/>
      </w:pPr>
      <w:r>
        <w:rPr>
          <w:rFonts w:ascii="宋体" w:hAnsi="宋体" w:eastAsia="宋体"/>
          <w:sz w:val="21"/>
        </w:rPr>
        <w:t>本发明拟解决以下相互关联的技术问题：</w:t>
      </w:r>
    </w:p>
    <w:p>
      <w:pPr>
        <w:spacing w:after="120" w:line="276" w:lineRule="auto"/>
      </w:pPr>
      <w:r>
        <w:rPr>
          <w:rFonts w:ascii="宋体" w:hAnsi="宋体" w:eastAsia="宋体"/>
          <w:sz w:val="21"/>
        </w:rPr>
        <w:t>（1）在同一工业数据平台中，如何把轮询型协议、节点型协议、传统组件型协议以及外部主动推送接口采集的数据，转换为具有统一设备标识、点标识、点组、采样周期、数据类型、值、时间戳和质量码的点状态记录，同时保留各协议适宜的读取优化方式。</w:t>
      </w:r>
    </w:p>
    <w:p>
      <w:pPr>
        <w:spacing w:after="120" w:line="276" w:lineRule="auto"/>
      </w:pPr>
      <w:r>
        <w:rPr>
          <w:rFonts w:ascii="宋体" w:hAnsi="宋体" w:eastAsia="宋体"/>
          <w:sz w:val="21"/>
        </w:rPr>
        <w:t>（2）如何在建立实时订阅、持续更新以及断线重连的全过程中，使监控端既能获得完整基线，又只处理基线之后发生变化的点状态记录。</w:t>
      </w:r>
    </w:p>
    <w:p>
      <w:pPr>
        <w:spacing w:after="120" w:line="276" w:lineRule="auto"/>
      </w:pPr>
      <w:r>
        <w:rPr>
          <w:rFonts w:ascii="宋体" w:hAnsi="宋体" w:eastAsia="宋体"/>
          <w:sz w:val="21"/>
        </w:rPr>
        <w:t>（3）如何把服务端高频状态传播与用户可配置的界面刷新周期解耦，在不丢失趋势记录的前提下，降低重复的当前值写入、响应式更新和图表重绘次数。</w:t>
      </w:r>
    </w:p>
    <w:p>
      <w:pPr>
        <w:spacing w:after="120" w:line="276" w:lineRule="auto"/>
      </w:pPr>
      <w:r>
        <w:rPr>
          <w:rFonts w:ascii="宋体" w:hAnsi="宋体" w:eastAsia="宋体"/>
          <w:sz w:val="21"/>
        </w:rPr>
        <w:t>（4）如何在浏览器中使用列式流式数据结构和独立工作线程对新增记录进行增量更新，并按数据类型拆分显示，减少全量数组重建和主线程计算开销。</w:t>
      </w:r>
    </w:p>
    <w:p>
      <w:pPr>
        <w:spacing w:after="120" w:line="276" w:lineRule="auto"/>
      </w:pPr>
      <w:r>
        <w:rPr>
          <w:rFonts w:ascii="宋体" w:hAnsi="宋体" w:eastAsia="宋体"/>
          <w:sz w:val="21"/>
        </w:rPr>
        <w:t>（5）如何通过配置代际校验、不可变任务快照、有限容量执行器、实时缓存写入顺序以及持久化消息确认规则，使多协议高频采集链路在配置切换、资源饱和和局部失败时仍保持数据语义一致。</w:t>
      </w:r>
    </w:p>
    <w:p>
      <w:pPr>
        <w:pStyle w:val="Heading2"/>
      </w:pPr>
      <w:r>
        <w:rPr>
          <w:rFonts w:ascii="黑体" w:hAnsi="黑体" w:eastAsia="黑体"/>
        </w:rPr>
        <w:t>三、本发明技术方案的详细阐述</w:t>
      </w:r>
    </w:p>
    <w:p>
      <w:pPr>
        <w:pStyle w:val="Heading3"/>
      </w:pPr>
      <w:r>
        <w:rPr>
          <w:rFonts w:ascii="宋体" w:hAnsi="宋体" w:eastAsia="宋体"/>
        </w:rPr>
        <w:t>3.1 背景与总体思路</w:t>
      </w:r>
    </w:p>
    <w:p>
      <w:pPr>
        <w:spacing w:after="120" w:line="276" w:lineRule="auto"/>
      </w:pPr>
      <w:r>
        <w:rPr>
          <w:rFonts w:ascii="宋体" w:hAnsi="宋体" w:eastAsia="宋体"/>
          <w:sz w:val="21"/>
        </w:rPr>
        <w:t>本发明适用于需要在一个平台中接入多厂商、多年代工业设备并进行高频实时监控的场景。设备侧可同时存在基于寄存器或存储区连续读取的协议、基于节点标识读取的协议、依赖独立代理进程的传统协议，以及由边缘进程主动推送数据的接口协议。</w:t>
      </w:r>
    </w:p>
    <w:p>
      <w:pPr>
        <w:spacing w:after="120" w:line="276" w:lineRule="auto"/>
      </w:pPr>
      <w:r>
        <w:rPr>
          <w:rFonts w:ascii="宋体" w:hAnsi="宋体" w:eastAsia="宋体"/>
          <w:sz w:val="21"/>
        </w:rPr>
        <w:t>本发明以“统一点状态记录”为贯穿链路的公共语义。协议适配层负责将设备地址和原始数据解析为统一点记录；采集编排层按设备和采样周期形成任务快照，并在协议允许时合并连续地址为读取块；实时缓存层同时维护最新状态、短窗口完整帧和持久化消息流；实时推送层在订阅建立时发送完整快照，并在其后发送相对于服务端基线的差分；浏览器接收层将快照立即应用，将差分分别写入当前值覆盖缓冲和趋势记录保序缓冲；达到用户设定刷新周期后，再批量更新界面和浏览器侧列式流式分析表。</w:t>
      </w:r>
    </w:p>
    <w:p>
      <w:pPr>
        <w:spacing w:after="120" w:line="276" w:lineRule="auto"/>
      </w:pPr>
      <w:r>
        <w:rPr>
          <w:rFonts w:ascii="宋体" w:hAnsi="宋体" w:eastAsia="宋体"/>
          <w:sz w:val="21"/>
        </w:rPr>
        <w:t>上述各环节共享设备标识、点组、点标识、时间戳和质量码，使协议接入、当前值显示、趋势分析和历史持久化无需分别维护互不相容的数据定义。</w:t>
      </w:r>
    </w:p>
    <w:p>
      <w:pPr>
        <w:pStyle w:val="Heading3"/>
      </w:pPr>
      <w:r>
        <w:rPr>
          <w:rFonts w:ascii="宋体" w:hAnsi="宋体" w:eastAsia="宋体"/>
        </w:rPr>
        <w:t>3.2 系统框图</w:t>
      </w:r>
    </w:p>
    <w:p>
      <w:pPr>
        <w:keepLines/>
        <w:spacing w:after="120"/>
        <w:ind w:left="288"/>
      </w:pPr>
      <w:r>
        <w:rPr>
          <w:rFonts w:ascii="Consolas" w:hAnsi="Consolas" w:eastAsia="Consolas"/>
          <w:color w:val="202020"/>
          <w:sz w:val="18"/>
        </w:rPr>
        <w:t>flowchart TB</w:t>
        <w:br/>
        <w:t xml:space="preserve">  subgraph field["异构工业设备层"]</w:t>
        <w:br/>
        <w:t xml:space="preserve">    direction LR</w:t>
        <w:br/>
        <w:t xml:space="preserve">    A1["寄存器/存储区协议设备"]</w:t>
        <w:br/>
        <w:t xml:space="preserve">    A2["节点型协议设备"]</w:t>
        <w:br/>
        <w:t xml:space="preserve">    A3["传统组件型协议设备"]</w:t>
        <w:br/>
        <w:t xml:space="preserve">    A4["外部主动推送设备"]</w:t>
        <w:br/>
        <w:t xml:space="preserve">  end</w:t>
        <w:br/>
        <w:t xml:space="preserve">  subgraph collect["统一采集与编排层"]</w:t>
        <w:br/>
        <w:t xml:space="preserve">    direction LR</w:t>
        <w:br/>
        <w:t xml:space="preserve">    B1["协议适配器"]</w:t>
        <w:br/>
        <w:t xml:space="preserve">    B2["地址块合并与周期调度"]</w:t>
        <w:br/>
        <w:t xml:space="preserve">    B3["任务快照与代际校验"]</w:t>
        <w:br/>
        <w:t xml:space="preserve">    B4["统一点状态生成"]</w:t>
        <w:br/>
        <w:t xml:space="preserve">  end</w:t>
        <w:br/>
        <w:t xml:space="preserve">  subgraph realtime["实时状态与推送层"]</w:t>
        <w:br/>
        <w:t xml:space="preserve">    direction LR</w:t>
        <w:br/>
        <w:t xml:space="preserve">    C1["短窗口完整帧"]</w:t>
        <w:br/>
        <w:t xml:space="preserve">    C2["持久化消息流"]</w:t>
        <w:br/>
        <w:t xml:space="preserve">    C3["最新点状态"]</w:t>
        <w:br/>
        <w:t xml:space="preserve">    C4["快照/差分推送"]</w:t>
        <w:br/>
        <w:t xml:space="preserve">  end</w:t>
        <w:br/>
        <w:t xml:space="preserve">  subgraph browser["浏览器流式监控层"]</w:t>
        <w:br/>
        <w:t xml:space="preserve">    direction LR</w:t>
        <w:br/>
        <w:t xml:space="preserve">    D1["快照立即应用"]</w:t>
        <w:br/>
        <w:t xml:space="preserve">    D2["当前值覆盖缓冲"]</w:t>
        <w:br/>
        <w:t xml:space="preserve">    D3["趋势记录保序缓冲"]</w:t>
        <w:br/>
        <w:t xml:space="preserve">    D4["列式流式表增量更新"]</w:t>
        <w:br/>
        <w:t xml:space="preserve">    D5["数值/状态分型展示"]</w:t>
        <w:br/>
        <w:t xml:space="preserve">  end</w:t>
        <w:br/>
        <w:t xml:space="preserve">  subgraph history["可靠历史存储层"]</w:t>
        <w:br/>
        <w:t xml:space="preserve">    direction LR</w:t>
        <w:br/>
        <w:t xml:space="preserve">    E1["消费组与待处理恢复"]</w:t>
        <w:br/>
        <w:t xml:space="preserve">    E2["批量写入与行级分流"]</w:t>
        <w:br/>
        <w:t xml:space="preserve">    E3["历史时序数据库"]</w:t>
        <w:br/>
        <w:t xml:space="preserve">    E4["死信隔离"]</w:t>
        <w:br/>
        <w:t xml:space="preserve">  end</w:t>
        <w:br/>
        <w:t xml:space="preserve">  A1 --&gt; B1</w:t>
        <w:br/>
        <w:t xml:space="preserve">  A2 --&gt; B1</w:t>
        <w:br/>
        <w:t xml:space="preserve">  A3 --&gt; B1</w:t>
        <w:br/>
        <w:t xml:space="preserve">  A4 --&gt; B1</w:t>
        <w:br/>
        <w:t xml:space="preserve">  B1 --&gt; B2 --&gt; B3 --&gt; B4</w:t>
        <w:br/>
        <w:t xml:space="preserve">  B4 --&gt; C1</w:t>
        <w:br/>
        <w:t xml:space="preserve">  B4 --&gt; C2</w:t>
        <w:br/>
        <w:t xml:space="preserve">  B4 --&gt; C3</w:t>
        <w:br/>
        <w:t xml:space="preserve">  C3 --&gt; C4</w:t>
        <w:br/>
        <w:t xml:space="preserve">  C4 --&gt; D1</w:t>
        <w:br/>
        <w:t xml:space="preserve">  C4 --&gt; D2</w:t>
        <w:br/>
        <w:t xml:space="preserve">  C4 --&gt; D3</w:t>
        <w:br/>
        <w:t xml:space="preserve">  D1 --&gt; D4</w:t>
        <w:br/>
        <w:t xml:space="preserve">  D2 --&gt; D4</w:t>
        <w:br/>
        <w:t xml:space="preserve">  D3 --&gt; D4 --&gt; D5</w:t>
        <w:br/>
        <w:t xml:space="preserve">  C2 --&gt; E1 --&gt; E2 --&gt; E3</w:t>
        <w:br/>
        <w:t xml:space="preserve">  E2 --&gt; E4</w:t>
      </w:r>
    </w:p>
    <w:p>
      <w:pPr>
        <w:pStyle w:val="Heading3"/>
      </w:pPr>
      <w:r>
        <w:rPr>
          <w:rFonts w:ascii="宋体" w:hAnsi="宋体" w:eastAsia="宋体"/>
        </w:rPr>
        <w:t>3.3 模块功能说明</w:t>
      </w:r>
    </w:p>
    <w:p>
      <w:pPr>
        <w:pStyle w:val="Heading4"/>
      </w:pPr>
      <w:r>
        <w:rPr>
          <w:rFonts w:ascii="宋体" w:hAnsi="宋体" w:eastAsia="宋体"/>
        </w:rPr>
        <w:t>3.3.1 协议适配模块</w:t>
      </w:r>
    </w:p>
    <w:p>
      <w:pPr>
        <w:spacing w:after="120" w:line="276" w:lineRule="auto"/>
      </w:pPr>
      <w:r>
        <w:rPr>
          <w:rFonts w:ascii="宋体" w:hAnsi="宋体" w:eastAsia="宋体"/>
          <w:sz w:val="21"/>
        </w:rPr>
        <w:t>协议适配模块针对不同工业协议提供统一连接、读取和关闭接口，但不强制各协议采用相同的底层读取方式。对于支持连续地址读取的协议，模块接收合并后的读取块并一次读取多个连续点；对于节点型协议，模块按节点集合批量读取；对于依赖特定位数运行环境或系统组件的传统协议，模块通过独立代理进程读取后以本地接口推送；对于外部主动上报设备，模块通过统一接收接口接收点值。</w:t>
      </w:r>
    </w:p>
    <w:p>
      <w:pPr>
        <w:spacing w:after="120" w:line="276" w:lineRule="auto"/>
      </w:pPr>
      <w:r>
        <w:rPr>
          <w:rFonts w:ascii="宋体" w:hAnsi="宋体" w:eastAsia="宋体"/>
          <w:sz w:val="21"/>
        </w:rPr>
        <w:t>各协议适配结果均被转换为统一点状态记录。点状态至少包括设备标识、点标识、值、时间戳和质量码；与任务配置关联的字段还包括点组、采样周期、地址、数据类型、是否持久化以及配置版本。由此，上游协议差异不会传播到实时监控和历史写入模块。</w:t>
      </w:r>
    </w:p>
    <w:p>
      <w:pPr>
        <w:pStyle w:val="Heading4"/>
      </w:pPr>
      <w:r>
        <w:rPr>
          <w:rFonts w:ascii="宋体" w:hAnsi="宋体" w:eastAsia="宋体"/>
        </w:rPr>
        <w:t>3.3.2 地址块合并与周期调度模块</w:t>
      </w:r>
    </w:p>
    <w:p>
      <w:pPr>
        <w:spacing w:after="120" w:line="276" w:lineRule="auto"/>
      </w:pPr>
      <w:r>
        <w:rPr>
          <w:rFonts w:ascii="宋体" w:hAnsi="宋体" w:eastAsia="宋体"/>
          <w:sz w:val="21"/>
        </w:rPr>
        <w:t>该模块按设备和采样周期对点配置分组。对于允许连续读取的协议，根据地址区、数据类型、连续性和协议允许的最大读取范围合并读取块，并建立“统一点标识—读取块—块内偏移”的结果映射；对于不适宜合并的协议，保留节点或点集合读取方式。</w:t>
      </w:r>
    </w:p>
    <w:p>
      <w:pPr>
        <w:spacing w:after="120" w:line="276" w:lineRule="auto"/>
      </w:pPr>
      <w:r>
        <w:rPr>
          <w:rFonts w:ascii="宋体" w:hAnsi="宋体" w:eastAsia="宋体"/>
          <w:sz w:val="21"/>
        </w:rPr>
        <w:t>调度时，一个采集任务对应一个设备的一个采样周期。不同周期的点位可形成独立任务，支持亚秒级采集。执行时间短于采样周期时等待剩余时间，执行时间达到或超过采样周期时不再附加等待，从而避免调度器主动累积额外延迟。</w:t>
      </w:r>
    </w:p>
    <w:p>
      <w:pPr>
        <w:pStyle w:val="Heading4"/>
      </w:pPr>
      <w:r>
        <w:rPr>
          <w:rFonts w:ascii="宋体" w:hAnsi="宋体" w:eastAsia="宋体"/>
        </w:rPr>
        <w:t>3.3.3 任务快照与代际校验模块</w:t>
      </w:r>
    </w:p>
    <w:p>
      <w:pPr>
        <w:spacing w:after="120" w:line="276" w:lineRule="auto"/>
      </w:pPr>
      <w:r>
        <w:rPr>
          <w:rFonts w:ascii="宋体" w:hAnsi="宋体" w:eastAsia="宋体"/>
          <w:sz w:val="21"/>
        </w:rPr>
        <w:t>每个采集任务创建时，将该任务涉及的采样周期、变量集合、读取块集合、结果映射和点组配置版本固化为不可变快照，并记录设备当前代际号。当设备配置新增、修改、删除或设备失效时，设备代际号递增。</w:t>
      </w:r>
    </w:p>
    <w:p>
      <w:pPr>
        <w:spacing w:after="120" w:line="276" w:lineRule="auto"/>
      </w:pPr>
      <w:r>
        <w:rPr>
          <w:rFonts w:ascii="宋体" w:hAnsi="宋体" w:eastAsia="宋体"/>
          <w:sz w:val="21"/>
        </w:rPr>
        <w:t>采集任务在设备读取前、解析后和写入前至少执行一次代际校验；最终写入动作与代际校验在同一设备代际锁内完成。若任务携带的代际号不是设备当前代际号，则丢弃该任务结果，防止旧任务在新配置生效后覆盖实时状态。</w:t>
      </w:r>
    </w:p>
    <w:p>
      <w:pPr>
        <w:pStyle w:val="Heading4"/>
      </w:pPr>
      <w:r>
        <w:rPr>
          <w:rFonts w:ascii="宋体" w:hAnsi="宋体" w:eastAsia="宋体"/>
        </w:rPr>
        <w:t>3.3.4 统一点状态与多语义实时缓存模块</w:t>
      </w:r>
    </w:p>
    <w:p>
      <w:pPr>
        <w:spacing w:after="120" w:line="276" w:lineRule="auto"/>
      </w:pPr>
      <w:r>
        <w:rPr>
          <w:rFonts w:ascii="宋体" w:hAnsi="宋体" w:eastAsia="宋体"/>
          <w:sz w:val="21"/>
        </w:rPr>
        <w:t>统一点状态生成模块把协议原始返回值按任务快照中的映射还原为点状态记录，并将数据类型、时间戳和质量码转换为平台统一语义。外部推送路径也经过相同的点配置查找、时间戳解析、质量码映射和代际校验。</w:t>
      </w:r>
    </w:p>
    <w:p>
      <w:pPr>
        <w:spacing w:after="120" w:line="276" w:lineRule="auto"/>
      </w:pPr>
      <w:r>
        <w:rPr>
          <w:rFonts w:ascii="宋体" w:hAnsi="宋体" w:eastAsia="宋体"/>
          <w:sz w:val="21"/>
        </w:rPr>
        <w:t>实时缓存模块为同一批点状态维护三种用途不同但标识一致的数据结构：</w:t>
      </w:r>
    </w:p>
    <w:p>
      <w:pPr>
        <w:spacing w:after="120" w:line="276" w:lineRule="auto"/>
      </w:pPr>
      <w:r>
        <w:rPr>
          <w:rFonts w:ascii="宋体" w:hAnsi="宋体" w:eastAsia="宋体"/>
          <w:sz w:val="21"/>
        </w:rPr>
        <w:t>（1）短窗口完整帧，用于保留最近若干采集帧并支持短时回看；</w:t>
      </w:r>
    </w:p>
    <w:p>
      <w:pPr>
        <w:spacing w:after="120" w:line="276" w:lineRule="auto"/>
      </w:pPr>
      <w:r>
        <w:rPr>
          <w:rFonts w:ascii="宋体" w:hAnsi="宋体" w:eastAsia="宋体"/>
          <w:sz w:val="21"/>
        </w:rPr>
        <w:t>（2）分片持久化消息流，用于由历史写入进程异步消费；</w:t>
      </w:r>
    </w:p>
    <w:p>
      <w:pPr>
        <w:spacing w:after="120" w:line="276" w:lineRule="auto"/>
      </w:pPr>
      <w:r>
        <w:rPr>
          <w:rFonts w:ascii="宋体" w:hAnsi="宋体" w:eastAsia="宋体"/>
          <w:sz w:val="21"/>
        </w:rPr>
        <w:t>（3）最新点状态哈希，用于实时监控快速读取每个点的最新值、时间戳和质量码。</w:t>
      </w:r>
    </w:p>
    <w:p>
      <w:pPr>
        <w:spacing w:after="120" w:line="276" w:lineRule="auto"/>
      </w:pPr>
      <w:r>
        <w:rPr>
          <w:rFonts w:ascii="宋体" w:hAnsi="宋体" w:eastAsia="宋体"/>
          <w:sz w:val="21"/>
        </w:rPr>
        <w:t>在一次采集周期内，先写短窗口和持久化消息流，二者成功后再写最新点状态。该“最新状态最后写入”约束使最新状态可作为该批次已完成前置缓存处理的可见标志；若短窗口或消息流写入失败，则不刷新最新状态。</w:t>
      </w:r>
    </w:p>
    <w:p>
      <w:pPr>
        <w:pStyle w:val="Heading4"/>
      </w:pPr>
      <w:r>
        <w:rPr>
          <w:rFonts w:ascii="宋体" w:hAnsi="宋体" w:eastAsia="宋体"/>
        </w:rPr>
        <w:t>3.3.5 快照与差分推送模块</w:t>
      </w:r>
    </w:p>
    <w:p>
      <w:pPr>
        <w:spacing w:after="120" w:line="276" w:lineRule="auto"/>
      </w:pPr>
      <w:r>
        <w:rPr>
          <w:rFonts w:ascii="宋体" w:hAnsi="宋体" w:eastAsia="宋体"/>
          <w:sz w:val="21"/>
        </w:rPr>
        <w:t>当浏览器订阅某设备及点组时，服务端读取对应最新点状态并发送一次全量快照，同时把该快照保存为该订阅键的比较基线。快照使首次打开或重连后的浏览器无需依赖此前消息即可恢复完整当前状态。</w:t>
      </w:r>
    </w:p>
    <w:p>
      <w:pPr>
        <w:spacing w:after="120" w:line="276" w:lineRule="auto"/>
      </w:pPr>
      <w:r>
        <w:rPr>
          <w:rFonts w:ascii="宋体" w:hAnsi="宋体" w:eastAsia="宋体"/>
          <w:sz w:val="21"/>
        </w:rPr>
        <w:t>此后服务端按预设检测周期读取最新点状态，并将当前点状态元组与基线中同一点状态元组比较。仅将值、时间戳或质量码至少一项发生变化的点放入差分集合并推送，随后用差分集合更新服务端基线。若设备从有数据跳变为无数据，仅发送一次离线状态，持续离线期间不重复广播。</w:t>
      </w:r>
    </w:p>
    <w:p>
      <w:pPr>
        <w:pStyle w:val="Heading4"/>
      </w:pPr>
      <w:r>
        <w:rPr>
          <w:rFonts w:ascii="宋体" w:hAnsi="宋体" w:eastAsia="宋体"/>
        </w:rPr>
        <w:t>3.3.6 浏览器双缓冲与刷新解耦模块</w:t>
      </w:r>
    </w:p>
    <w:p>
      <w:pPr>
        <w:spacing w:after="120" w:line="276" w:lineRule="auto"/>
      </w:pPr>
      <w:r>
        <w:rPr>
          <w:rFonts w:ascii="宋体" w:hAnsi="宋体" w:eastAsia="宋体"/>
          <w:sz w:val="21"/>
        </w:rPr>
        <w:t>浏览器收到全量快照时，清空待处理缓冲并立即写入当前值、质量状态和趋势表，使页面快速建立正确基线。浏览器收到差分消息时不立即触发整页刷新，而执行两条并行路径：</w:t>
      </w:r>
    </w:p>
    <w:p>
      <w:pPr>
        <w:spacing w:after="120" w:line="276" w:lineRule="auto"/>
      </w:pPr>
      <w:r>
        <w:rPr>
          <w:rFonts w:ascii="宋体" w:hAnsi="宋体" w:eastAsia="宋体"/>
          <w:sz w:val="21"/>
        </w:rPr>
        <w:t>（1）按点标识写入当前值覆盖缓冲和质量覆盖缓冲；同一刷新窗口内同一点多次更新时，后到状态覆盖先到状态，界面刷新时只写入该点的窗口末状态；</w:t>
      </w:r>
    </w:p>
    <w:p>
      <w:pPr>
        <w:spacing w:after="120" w:line="276" w:lineRule="auto"/>
      </w:pPr>
      <w:r>
        <w:rPr>
          <w:rFonts w:ascii="宋体" w:hAnsi="宋体" w:eastAsia="宋体"/>
          <w:sz w:val="21"/>
        </w:rPr>
        <w:t>（2）将被选中用于趋势监控的记录按到达顺序追加到趋势记录保序缓冲，不因当前值覆盖而删除窗口内的中间趋势记录。</w:t>
      </w:r>
    </w:p>
    <w:p>
      <w:pPr>
        <w:spacing w:after="120" w:line="276" w:lineRule="auto"/>
      </w:pPr>
      <w:r>
        <w:rPr>
          <w:rFonts w:ascii="宋体" w:hAnsi="宋体" w:eastAsia="宋体"/>
          <w:sz w:val="21"/>
        </w:rPr>
        <w:t>浏览器按用户设定的刷新周期批量清空两类缓冲：先把当前值和质量覆盖缓冲写入页面状态，再把趋势记录批次追加到受长度限制的本地记录集合，并把该批次增量送入列式流式表。由此，状态面板避免同一点在一个刷新窗口内重复触发响应式更新，而趋势分析仍保留窗口内记录。</w:t>
      </w:r>
    </w:p>
    <w:p>
      <w:pPr>
        <w:pStyle w:val="Heading4"/>
      </w:pPr>
      <w:r>
        <w:rPr>
          <w:rFonts w:ascii="宋体" w:hAnsi="宋体" w:eastAsia="宋体"/>
        </w:rPr>
        <w:t>3.3.7 浏览器侧列式流式分析与分型展示模块</w:t>
      </w:r>
    </w:p>
    <w:p>
      <w:pPr>
        <w:spacing w:after="120" w:line="276" w:lineRule="auto"/>
      </w:pPr>
      <w:r>
        <w:rPr>
          <w:rFonts w:ascii="宋体" w:hAnsi="宋体" w:eastAsia="宋体"/>
          <w:sz w:val="21"/>
        </w:rPr>
        <w:t>该模块在浏览器独立工作线程或等效隔离执行环境中创建列式流式表，表模式至少包括时间戳、点序号、点名称和值。首次需要显示时创建表并加载视图配置；后续只调用增量更新接口追加本次刷新窗口内的新记录，不重新构造全部历史数组。</w:t>
      </w:r>
    </w:p>
    <w:p>
      <w:pPr>
        <w:spacing w:after="120" w:line="276" w:lineRule="auto"/>
      </w:pPr>
      <w:r>
        <w:rPr>
          <w:rFonts w:ascii="宋体" w:hAnsi="宋体" w:eastAsia="宋体"/>
          <w:sz w:val="21"/>
        </w:rPr>
        <w:t>在一种实施方式中，系统根据统一点配置中的数据类型集合，把趋势记录拆分为数值型记录和布尔/状态型记录，分别更新两个列式流式表。数值型视图使用连续数值轴，状态型视图使用离散状态语义；也可根据用户配置合并为一个视图。每次增量更新后仅刷新对应视图。浏览器本地记录超过预设上限时淘汰最早记录，使长期运行时内存占用受到约束。</w:t>
      </w:r>
    </w:p>
    <w:p>
      <w:pPr>
        <w:pStyle w:val="Heading4"/>
      </w:pPr>
      <w:r>
        <w:rPr>
          <w:rFonts w:ascii="宋体" w:hAnsi="宋体" w:eastAsia="宋体"/>
        </w:rPr>
        <w:t>3.3.8 有限容量执行与可靠历史写入模块</w:t>
      </w:r>
    </w:p>
    <w:p>
      <w:pPr>
        <w:spacing w:after="120" w:line="276" w:lineRule="auto"/>
      </w:pPr>
      <w:r>
        <w:rPr>
          <w:rFonts w:ascii="宋体" w:hAnsi="宋体" w:eastAsia="宋体"/>
          <w:sz w:val="21"/>
        </w:rPr>
        <w:t>设备读取、结果解析和实时缓存写入分别使用有限容量执行器。执行器以工作线程数和最大待处理数限制并发任务；容量达到上限时明确返回饱和状态，由上层记录指标并按策略延后或拒绝，避免无限排队导致采集延迟失控。</w:t>
      </w:r>
    </w:p>
    <w:p>
      <w:pPr>
        <w:spacing w:after="120" w:line="276" w:lineRule="auto"/>
      </w:pPr>
      <w:r>
        <w:rPr>
          <w:rFonts w:ascii="宋体" w:hAnsi="宋体" w:eastAsia="宋体"/>
          <w:sz w:val="21"/>
        </w:rPr>
        <w:t>历史写入进程以消费组读取持久化消息流。消息先进入待处理列表，批量转换为多表写入请求。写入结果按行分为：已落库、明确坏数据和可重试错误。已落库行才执行确认；明确坏数据只有成功写入死信队列后才确认；连接错误、未知错误或分解深度达到上限的行不确认并保留重试。进程启动及周期运行时认领超过空闲阈值的待处理消息；只有超过最大投递次数且成功进入死信队列的消息才从待处理列表移除。</w:t>
      </w:r>
    </w:p>
    <w:p>
      <w:pPr>
        <w:pStyle w:val="Heading3"/>
      </w:pPr>
      <w:r>
        <w:rPr>
          <w:rFonts w:ascii="宋体" w:hAnsi="宋体" w:eastAsia="宋体"/>
        </w:rPr>
        <w:t>3.4 系统流程说明</w:t>
      </w:r>
    </w:p>
    <w:p>
      <w:pPr>
        <w:keepLines/>
        <w:spacing w:after="120"/>
        <w:ind w:left="288"/>
      </w:pPr>
      <w:r>
        <w:rPr>
          <w:rFonts w:ascii="Consolas" w:hAnsi="Consolas" w:eastAsia="Consolas"/>
          <w:color w:val="202020"/>
          <w:sz w:val="18"/>
        </w:rPr>
        <w:t>flowchart TD</w:t>
        <w:br/>
        <w:t xml:space="preserve">  S1["S1 读取设备与点配置"] --&gt; S2["S2 按设备和采样周期建立任务"]</w:t>
        <w:br/>
        <w:t xml:space="preserve">  S2 --&gt; S3{"协议是否支持连续块读取"}</w:t>
        <w:br/>
        <w:t xml:space="preserve">  S3 -- "是" --&gt; S4["合并地址块并建立点偏移映射"]</w:t>
        <w:br/>
        <w:t xml:space="preserve">  S3 -- "否" --&gt; S5["建立节点集合或外部推送映射"]</w:t>
        <w:br/>
        <w:t xml:space="preserve">  S4 --&gt; S6["固化任务快照与设备代际号"]</w:t>
        <w:br/>
        <w:t xml:space="preserve">  S5 --&gt; S6</w:t>
        <w:br/>
        <w:t xml:space="preserve">  S6 --&gt; S7["执行协议读取或接收外部推送"]</w:t>
        <w:br/>
        <w:t xml:space="preserve">  S7 --&gt; S8["转换为统一点状态记录"]</w:t>
        <w:br/>
        <w:t xml:space="preserve">  S8 --&gt; S9{"代际仍为当前值"}</w:t>
        <w:br/>
        <w:t xml:space="preserve">  S9 -- "否" --&gt; S10["丢弃旧代际结果并记录指标"]</w:t>
        <w:br/>
        <w:t xml:space="preserve">  S9 -- "是" --&gt; S11["写短窗口和持久化消息流"]</w:t>
        <w:br/>
        <w:t xml:space="preserve">  S11 --&gt; S12{"前置缓存写入成功"}</w:t>
        <w:br/>
        <w:t xml:space="preserve">  S12 -- "否" --&gt; S13["不刷新最新状态并进入重试/告警"]</w:t>
        <w:br/>
        <w:t xml:space="preserve">  S12 -- "是" --&gt; S14["最后写入最新点状态"]</w:t>
        <w:br/>
        <w:t xml:space="preserve">  S14 --&gt; S15{"是否新建或重建订阅"}</w:t>
        <w:br/>
        <w:t xml:space="preserve">  S15 -- "是" --&gt; S16["发送全量快照并建立比较基线"]</w:t>
        <w:br/>
        <w:t xml:space="preserve">  S15 -- "否" --&gt; S17["计算点状态差分并推送"]</w:t>
        <w:br/>
        <w:t xml:space="preserve">  S16 --&gt; S18["浏览器立即应用快照"]</w:t>
        <w:br/>
        <w:t xml:space="preserve">  S17 --&gt; S19["写当前值覆盖缓冲和趋势保序缓冲"]</w:t>
        <w:br/>
        <w:t xml:space="preserve">  S18 --&gt; S20["增量更新列式流式表"]</w:t>
        <w:br/>
        <w:t xml:space="preserve">  S19 --&gt; S21{"达到用户刷新周期"}</w:t>
        <w:br/>
        <w:t xml:space="preserve">  S21 -- "否" --&gt; S19</w:t>
        <w:br/>
        <w:t xml:space="preserve">  S21 -- "是" --&gt; S22["批量更新页面状态与趋势记录"]</w:t>
        <w:br/>
        <w:t xml:space="preserve">  S22 --&gt; S20</w:t>
        <w:br/>
        <w:t xml:space="preserve">  S20 --&gt; S23["按数值型/状态型刷新视图"]</w:t>
        <w:br/>
        <w:t xml:space="preserve">  S23 --&gt; S7</w:t>
      </w:r>
    </w:p>
    <w:p>
      <w:pPr>
        <w:spacing w:after="120" w:line="276" w:lineRule="auto"/>
      </w:pPr>
      <w:r>
        <w:rPr>
          <w:rFonts w:ascii="宋体" w:hAnsi="宋体" w:eastAsia="宋体"/>
          <w:sz w:val="21"/>
        </w:rPr>
        <w:t>流程具体包括：</w:t>
      </w:r>
    </w:p>
    <w:p>
      <w:pPr>
        <w:spacing w:after="120" w:line="276" w:lineRule="auto"/>
      </w:pPr>
      <w:r>
        <w:rPr>
          <w:rFonts w:ascii="宋体" w:hAnsi="宋体" w:eastAsia="宋体"/>
          <w:sz w:val="21"/>
        </w:rPr>
        <w:t>S1，加载设备、协议、点地址、点组、数据类型、采样周期、是否持久化和配置版本。</w:t>
      </w:r>
    </w:p>
    <w:p>
      <w:pPr>
        <w:spacing w:after="120" w:line="276" w:lineRule="auto"/>
      </w:pPr>
      <w:r>
        <w:rPr>
          <w:rFonts w:ascii="宋体" w:hAnsi="宋体" w:eastAsia="宋体"/>
          <w:sz w:val="21"/>
        </w:rPr>
        <w:t>S2—S6，根据协议能力建立读取块或节点集合，按设备和采样周期形成任务，并固化不可变任务快照和设备代际号。</w:t>
      </w:r>
    </w:p>
    <w:p>
      <w:pPr>
        <w:spacing w:after="120" w:line="276" w:lineRule="auto"/>
      </w:pPr>
      <w:r>
        <w:rPr>
          <w:rFonts w:ascii="宋体" w:hAnsi="宋体" w:eastAsia="宋体"/>
          <w:sz w:val="21"/>
        </w:rPr>
        <w:t>S7—S10，执行设备读取或接收外部推送，转换为统一点状态记录；若任务代际已过期，则停止后续写入。</w:t>
      </w:r>
    </w:p>
    <w:p>
      <w:pPr>
        <w:spacing w:after="120" w:line="276" w:lineRule="auto"/>
      </w:pPr>
      <w:r>
        <w:rPr>
          <w:rFonts w:ascii="宋体" w:hAnsi="宋体" w:eastAsia="宋体"/>
          <w:sz w:val="21"/>
        </w:rPr>
        <w:t>S11—S14，先以流水线方式写入短窗口和持久化消息流，成功后再刷新最新点状态，形成最新状态最后可见的写入次序。</w:t>
      </w:r>
    </w:p>
    <w:p>
      <w:pPr>
        <w:spacing w:after="120" w:line="276" w:lineRule="auto"/>
      </w:pPr>
      <w:r>
        <w:rPr>
          <w:rFonts w:ascii="宋体" w:hAnsi="宋体" w:eastAsia="宋体"/>
          <w:sz w:val="21"/>
        </w:rPr>
        <w:t>S15—S17，新订阅或重连时发送全量快照；已有基线时比较当前点状态与基线，发送差分并更新基线。</w:t>
      </w:r>
    </w:p>
    <w:p>
      <w:pPr>
        <w:spacing w:after="120" w:line="276" w:lineRule="auto"/>
      </w:pPr>
      <w:r>
        <w:rPr>
          <w:rFonts w:ascii="宋体" w:hAnsi="宋体" w:eastAsia="宋体"/>
          <w:sz w:val="21"/>
        </w:rPr>
        <w:t>S18—S22，浏览器立即应用快照；差分则进入当前值覆盖缓冲和趋势保序缓冲，达到用户刷新周期后批量写入页面状态和趋势记录。</w:t>
      </w:r>
    </w:p>
    <w:p>
      <w:pPr>
        <w:spacing w:after="120" w:line="276" w:lineRule="auto"/>
      </w:pPr>
      <w:r>
        <w:rPr>
          <w:rFonts w:ascii="宋体" w:hAnsi="宋体" w:eastAsia="宋体"/>
          <w:sz w:val="21"/>
        </w:rPr>
        <w:t>S20、S23，将新增趋势记录增量写入浏览器侧列式流式表，并根据点数据类型刷新数值型视图、状态型视图或合并视图。</w:t>
      </w:r>
    </w:p>
    <w:p>
      <w:pPr>
        <w:pStyle w:val="Heading3"/>
      </w:pPr>
      <w:r>
        <w:rPr>
          <w:rFonts w:ascii="宋体" w:hAnsi="宋体" w:eastAsia="宋体"/>
        </w:rPr>
        <w:t>3.4.1 符号与公式</w:t>
      </w:r>
    </w:p>
    <w:p>
      <w:pPr>
        <w:pStyle w:val="Heading4"/>
      </w:pPr>
      <w:r>
        <w:rPr>
          <w:rFonts w:ascii="宋体" w:hAnsi="宋体" w:eastAsia="宋体"/>
        </w:rPr>
        <w:t>（1）符号与变量定义</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含义</w:t>
            </w:r>
          </w:p>
        </w:tc>
        <w:tc>
          <w:tcPr>
            <w:tcW w:type="dxa" w:w="2880"/>
          </w:tcPr>
          <w:p>
            <w:r>
              <w:rPr>
                <w:rFonts w:ascii="宋体" w:hAnsi="宋体" w:eastAsia="宋体"/>
                <w:sz w:val="20"/>
              </w:rPr>
            </w:r>
            <w:r>
              <w:rPr>
                <w:rFonts w:ascii="宋体" w:hAnsi="宋体" w:eastAsia="宋体"/>
                <w:sz w:val="20"/>
              </w:rPr>
              <w:t>下标、量纲或取值范围</w:t>
            </w:r>
          </w:p>
        </w:tc>
      </w:tr>
      <w:tr>
        <w:tc>
          <w:tcPr>
            <w:tcW w:type="dxa" w:w="2880"/>
          </w:tcPr>
          <w:p>
            <w:r>
              <w:rPr>
                <w:rFonts w:ascii="宋体" w:hAnsi="宋体" w:eastAsia="宋体"/>
                <w:sz w:val="20"/>
              </w:rPr>
            </w:r>
            <w:r>
              <w:rPr>
                <w:rFonts w:ascii="宋体" w:hAnsi="宋体" w:eastAsia="宋体"/>
                <w:sz w:val="20"/>
              </w:rPr>
              <w:t>\(i\)</w:t>
            </w:r>
          </w:p>
        </w:tc>
        <w:tc>
          <w:tcPr>
            <w:tcW w:type="dxa" w:w="2880"/>
          </w:tcPr>
          <w:p>
            <w:r>
              <w:rPr>
                <w:rFonts w:ascii="宋体" w:hAnsi="宋体" w:eastAsia="宋体"/>
                <w:sz w:val="20"/>
              </w:rPr>
            </w:r>
            <w:r>
              <w:rPr>
                <w:rFonts w:ascii="宋体" w:hAnsi="宋体" w:eastAsia="宋体"/>
                <w:sz w:val="20"/>
              </w:rPr>
              <w:t>统一点索引</w:t>
            </w:r>
          </w:p>
        </w:tc>
        <w:tc>
          <w:tcPr>
            <w:tcW w:type="dxa" w:w="2880"/>
          </w:tcPr>
          <w:p>
            <w:r>
              <w:rPr>
                <w:rFonts w:ascii="宋体" w:hAnsi="宋体" w:eastAsia="宋体"/>
                <w:sz w:val="20"/>
              </w:rPr>
            </w:r>
            <w:r>
              <w:rPr>
                <w:rFonts w:ascii="宋体" w:hAnsi="宋体" w:eastAsia="宋体"/>
                <w:sz w:val="20"/>
              </w:rPr>
              <w:t>\(i=1,\ldots,N\)</w:t>
            </w:r>
          </w:p>
        </w:tc>
      </w:tr>
      <w:tr>
        <w:tc>
          <w:tcPr>
            <w:tcW w:type="dxa" w:w="2880"/>
          </w:tcPr>
          <w:p>
            <w:r>
              <w:rPr>
                <w:rFonts w:ascii="宋体" w:hAnsi="宋体" w:eastAsia="宋体"/>
                <w:sz w:val="20"/>
              </w:rPr>
            </w:r>
            <w:r>
              <w:rPr>
                <w:rFonts w:ascii="宋体" w:hAnsi="宋体" w:eastAsia="宋体"/>
                <w:sz w:val="20"/>
              </w:rPr>
              <w:t>\(k\)</w:t>
            </w:r>
          </w:p>
        </w:tc>
        <w:tc>
          <w:tcPr>
            <w:tcW w:type="dxa" w:w="2880"/>
          </w:tcPr>
          <w:p>
            <w:r>
              <w:rPr>
                <w:rFonts w:ascii="宋体" w:hAnsi="宋体" w:eastAsia="宋体"/>
                <w:sz w:val="20"/>
              </w:rPr>
            </w:r>
            <w:r>
              <w:rPr>
                <w:rFonts w:ascii="宋体" w:hAnsi="宋体" w:eastAsia="宋体"/>
                <w:sz w:val="20"/>
              </w:rPr>
              <w:t>服务端状态检测周期索引</w:t>
            </w:r>
          </w:p>
        </w:tc>
        <w:tc>
          <w:tcPr>
            <w:tcW w:type="dxa" w:w="2880"/>
          </w:tcPr>
          <w:p>
            <w:r>
              <w:rPr>
                <w:rFonts w:ascii="宋体" w:hAnsi="宋体" w:eastAsia="宋体"/>
                <w:sz w:val="20"/>
              </w:rPr>
            </w:r>
            <w:r>
              <w:rPr>
                <w:rFonts w:ascii="宋体" w:hAnsi="宋体" w:eastAsia="宋体"/>
                <w:sz w:val="20"/>
              </w:rPr>
              <w:t>非负整数</w:t>
            </w:r>
          </w:p>
        </w:tc>
      </w:tr>
      <w:tr>
        <w:tc>
          <w:tcPr>
            <w:tcW w:type="dxa" w:w="2880"/>
          </w:tcPr>
          <w:p>
            <w:r>
              <w:rPr>
                <w:rFonts w:ascii="宋体" w:hAnsi="宋体" w:eastAsia="宋体"/>
                <w:sz w:val="20"/>
              </w:rPr>
            </w:r>
            <w:r>
              <w:rPr>
                <w:rFonts w:ascii="宋体" w:hAnsi="宋体" w:eastAsia="宋体"/>
                <w:sz w:val="20"/>
              </w:rPr>
              <w:t>\(n\)</w:t>
            </w:r>
          </w:p>
        </w:tc>
        <w:tc>
          <w:tcPr>
            <w:tcW w:type="dxa" w:w="2880"/>
          </w:tcPr>
          <w:p>
            <w:r>
              <w:rPr>
                <w:rFonts w:ascii="宋体" w:hAnsi="宋体" w:eastAsia="宋体"/>
                <w:sz w:val="20"/>
              </w:rPr>
            </w:r>
            <w:r>
              <w:rPr>
                <w:rFonts w:ascii="宋体" w:hAnsi="宋体" w:eastAsia="宋体"/>
                <w:sz w:val="20"/>
              </w:rPr>
              <w:t>浏览器刷新窗口索引</w:t>
            </w:r>
          </w:p>
        </w:tc>
        <w:tc>
          <w:tcPr>
            <w:tcW w:type="dxa" w:w="2880"/>
          </w:tcPr>
          <w:p>
            <w:r>
              <w:rPr>
                <w:rFonts w:ascii="宋体" w:hAnsi="宋体" w:eastAsia="宋体"/>
                <w:sz w:val="20"/>
              </w:rPr>
            </w:r>
            <w:r>
              <w:rPr>
                <w:rFonts w:ascii="宋体" w:hAnsi="宋体" w:eastAsia="宋体"/>
                <w:sz w:val="20"/>
              </w:rPr>
              <w:t>非负整数</w:t>
            </w:r>
          </w:p>
        </w:tc>
      </w:tr>
      <w:tr>
        <w:tc>
          <w:tcPr>
            <w:tcW w:type="dxa" w:w="2880"/>
          </w:tcPr>
          <w:p>
            <w:r>
              <w:rPr>
                <w:rFonts w:ascii="宋体" w:hAnsi="宋体" w:eastAsia="宋体"/>
                <w:sz w:val="20"/>
              </w:rPr>
            </w:r>
            <w:r>
              <w:rPr>
                <w:rFonts w:ascii="宋体" w:hAnsi="宋体" w:eastAsia="宋体"/>
                <w:sz w:val="20"/>
              </w:rPr>
              <w:t>\(s_{i,k}\)</w:t>
            </w:r>
          </w:p>
        </w:tc>
        <w:tc>
          <w:tcPr>
            <w:tcW w:type="dxa" w:w="2880"/>
          </w:tcPr>
          <w:p>
            <w:r>
              <w:rPr>
                <w:rFonts w:ascii="宋体" w:hAnsi="宋体" w:eastAsia="宋体"/>
                <w:sz w:val="20"/>
              </w:rPr>
            </w:r>
            <w:r>
              <w:rPr>
                <w:rFonts w:ascii="宋体" w:hAnsi="宋体" w:eastAsia="宋体"/>
                <w:sz w:val="20"/>
              </w:rPr>
              <w:t>第 \(k\) 个检测周期中点 \(i\) 的状态元组</w:t>
            </w:r>
          </w:p>
        </w:tc>
        <w:tc>
          <w:tcPr>
            <w:tcW w:type="dxa" w:w="2880"/>
          </w:tcPr>
          <w:p>
            <w:r>
              <w:rPr>
                <w:rFonts w:ascii="宋体" w:hAnsi="宋体" w:eastAsia="宋体"/>
                <w:sz w:val="20"/>
              </w:rPr>
            </w:r>
            <w:r>
              <w:rPr>
                <w:rFonts w:ascii="宋体" w:hAnsi="宋体" w:eastAsia="宋体"/>
                <w:sz w:val="20"/>
              </w:rPr>
              <w:t>由值、时间戳和质量码组成</w:t>
            </w:r>
          </w:p>
        </w:tc>
      </w:tr>
      <w:tr>
        <w:tc>
          <w:tcPr>
            <w:tcW w:type="dxa" w:w="2880"/>
          </w:tcPr>
          <w:p>
            <w:r>
              <w:rPr>
                <w:rFonts w:ascii="宋体" w:hAnsi="宋体" w:eastAsia="宋体"/>
                <w:sz w:val="20"/>
              </w:rPr>
            </w:r>
            <w:r>
              <w:rPr>
                <w:rFonts w:ascii="宋体" w:hAnsi="宋体" w:eastAsia="宋体"/>
                <w:sz w:val="20"/>
              </w:rPr>
              <w:t>\(S_k\)</w:t>
            </w:r>
          </w:p>
        </w:tc>
        <w:tc>
          <w:tcPr>
            <w:tcW w:type="dxa" w:w="2880"/>
          </w:tcPr>
          <w:p>
            <w:r>
              <w:rPr>
                <w:rFonts w:ascii="宋体" w:hAnsi="宋体" w:eastAsia="宋体"/>
                <w:sz w:val="20"/>
              </w:rPr>
            </w:r>
            <w:r>
              <w:rPr>
                <w:rFonts w:ascii="宋体" w:hAnsi="宋体" w:eastAsia="宋体"/>
                <w:sz w:val="20"/>
              </w:rPr>
              <w:t>第 \(k\) 个检测周期的全部点状态集合</w:t>
            </w:r>
          </w:p>
        </w:tc>
        <w:tc>
          <w:tcPr>
            <w:tcW w:type="dxa" w:w="2880"/>
          </w:tcPr>
          <w:p>
            <w:r>
              <w:rPr>
                <w:rFonts w:ascii="宋体" w:hAnsi="宋体" w:eastAsia="宋体"/>
                <w:sz w:val="20"/>
              </w:rPr>
            </w:r>
            <w:r>
              <w:rPr>
                <w:rFonts w:ascii="宋体" w:hAnsi="宋体" w:eastAsia="宋体"/>
                <w:sz w:val="20"/>
              </w:rPr>
              <w:t>点状态集合</w:t>
            </w:r>
          </w:p>
        </w:tc>
      </w:tr>
      <w:tr>
        <w:tc>
          <w:tcPr>
            <w:tcW w:type="dxa" w:w="2880"/>
          </w:tcPr>
          <w:p>
            <w:r>
              <w:rPr>
                <w:rFonts w:ascii="宋体" w:hAnsi="宋体" w:eastAsia="宋体"/>
                <w:sz w:val="20"/>
              </w:rPr>
            </w:r>
            <w:r>
              <w:rPr>
                <w:rFonts w:ascii="宋体" w:hAnsi="宋体" w:eastAsia="宋体"/>
                <w:sz w:val="20"/>
              </w:rPr>
              <w:t>\(\Delta_k\)</w:t>
            </w:r>
          </w:p>
        </w:tc>
        <w:tc>
          <w:tcPr>
            <w:tcW w:type="dxa" w:w="2880"/>
          </w:tcPr>
          <w:p>
            <w:r>
              <w:rPr>
                <w:rFonts w:ascii="宋体" w:hAnsi="宋体" w:eastAsia="宋体"/>
                <w:sz w:val="20"/>
              </w:rPr>
            </w:r>
            <w:r>
              <w:rPr>
                <w:rFonts w:ascii="宋体" w:hAnsi="宋体" w:eastAsia="宋体"/>
                <w:sz w:val="20"/>
              </w:rPr>
              <w:t>第 \(k\) 个检测周期相对前一基线的差分点集合</w:t>
            </w:r>
          </w:p>
        </w:tc>
        <w:tc>
          <w:tcPr>
            <w:tcW w:type="dxa" w:w="2880"/>
          </w:tcPr>
          <w:p>
            <w:r>
              <w:rPr>
                <w:rFonts w:ascii="宋体" w:hAnsi="宋体" w:eastAsia="宋体"/>
                <w:sz w:val="20"/>
              </w:rPr>
            </w:r>
            <w:r>
              <w:rPr>
                <w:rFonts w:ascii="宋体" w:hAnsi="宋体" w:eastAsia="宋体"/>
                <w:sz w:val="20"/>
              </w:rPr>
              <w:t>\(\Delta_k\subseteq S_k\)</w:t>
            </w:r>
          </w:p>
        </w:tc>
      </w:tr>
      <w:tr>
        <w:tc>
          <w:tcPr>
            <w:tcW w:type="dxa" w:w="2880"/>
          </w:tcPr>
          <w:p>
            <w:r>
              <w:rPr>
                <w:rFonts w:ascii="宋体" w:hAnsi="宋体" w:eastAsia="宋体"/>
                <w:sz w:val="20"/>
              </w:rPr>
            </w:r>
            <w:r>
              <w:rPr>
                <w:rFonts w:ascii="宋体" w:hAnsi="宋体" w:eastAsia="宋体"/>
                <w:sz w:val="20"/>
              </w:rPr>
              <w:t>\(t_k\)</w:t>
            </w:r>
          </w:p>
        </w:tc>
        <w:tc>
          <w:tcPr>
            <w:tcW w:type="dxa" w:w="2880"/>
          </w:tcPr>
          <w:p>
            <w:r>
              <w:rPr>
                <w:rFonts w:ascii="宋体" w:hAnsi="宋体" w:eastAsia="宋体"/>
                <w:sz w:val="20"/>
              </w:rPr>
            </w:r>
            <w:r>
              <w:rPr>
                <w:rFonts w:ascii="宋体" w:hAnsi="宋体" w:eastAsia="宋体"/>
                <w:sz w:val="20"/>
              </w:rPr>
              <w:t>第 \(k\) 个检测周期的时间</w:t>
            </w:r>
          </w:p>
        </w:tc>
        <w:tc>
          <w:tcPr>
            <w:tcW w:type="dxa" w:w="2880"/>
          </w:tcPr>
          <w:p>
            <w:r>
              <w:rPr>
                <w:rFonts w:ascii="宋体" w:hAnsi="宋体" w:eastAsia="宋体"/>
                <w:sz w:val="20"/>
              </w:rPr>
            </w:r>
            <w:r>
              <w:rPr>
                <w:rFonts w:ascii="宋体" w:hAnsi="宋体" w:eastAsia="宋体"/>
                <w:sz w:val="20"/>
              </w:rPr>
              <w:t>时间量</w:t>
            </w:r>
          </w:p>
        </w:tc>
      </w:tr>
      <w:tr>
        <w:tc>
          <w:tcPr>
            <w:tcW w:type="dxa" w:w="2880"/>
          </w:tcPr>
          <w:p>
            <w:r>
              <w:rPr>
                <w:rFonts w:ascii="宋体" w:hAnsi="宋体" w:eastAsia="宋体"/>
                <w:sz w:val="20"/>
              </w:rPr>
            </w:r>
            <w:r>
              <w:rPr>
                <w:rFonts w:ascii="宋体" w:hAnsi="宋体" w:eastAsia="宋体"/>
                <w:sz w:val="20"/>
              </w:rPr>
              <w:t>\(\tau_u\)</w:t>
            </w:r>
          </w:p>
        </w:tc>
        <w:tc>
          <w:tcPr>
            <w:tcW w:type="dxa" w:w="2880"/>
          </w:tcPr>
          <w:p>
            <w:r>
              <w:rPr>
                <w:rFonts w:ascii="宋体" w:hAnsi="宋体" w:eastAsia="宋体"/>
                <w:sz w:val="20"/>
              </w:rPr>
            </w:r>
            <w:r>
              <w:rPr>
                <w:rFonts w:ascii="宋体" w:hAnsi="宋体" w:eastAsia="宋体"/>
                <w:sz w:val="20"/>
              </w:rPr>
              <w:t>用户设定的浏览器刷新周期</w:t>
            </w:r>
          </w:p>
        </w:tc>
        <w:tc>
          <w:tcPr>
            <w:tcW w:type="dxa" w:w="2880"/>
          </w:tcPr>
          <w:p>
            <w:r>
              <w:rPr>
                <w:rFonts w:ascii="宋体" w:hAnsi="宋体" w:eastAsia="宋体"/>
                <w:sz w:val="20"/>
              </w:rPr>
            </w:r>
            <w:r>
              <w:rPr>
                <w:rFonts w:ascii="宋体" w:hAnsi="宋体" w:eastAsia="宋体"/>
                <w:sz w:val="20"/>
              </w:rPr>
              <w:t>正时间量</w:t>
            </w:r>
          </w:p>
        </w:tc>
      </w:tr>
      <w:tr>
        <w:tc>
          <w:tcPr>
            <w:tcW w:type="dxa" w:w="2880"/>
          </w:tcPr>
          <w:p>
            <w:r>
              <w:rPr>
                <w:rFonts w:ascii="宋体" w:hAnsi="宋体" w:eastAsia="宋体"/>
                <w:sz w:val="20"/>
              </w:rPr>
            </w:r>
            <w:r>
              <w:rPr>
                <w:rFonts w:ascii="宋体" w:hAnsi="宋体" w:eastAsia="宋体"/>
                <w:sz w:val="20"/>
              </w:rPr>
              <w:t>\(B_n\)</w:t>
            </w:r>
          </w:p>
        </w:tc>
        <w:tc>
          <w:tcPr>
            <w:tcW w:type="dxa" w:w="2880"/>
          </w:tcPr>
          <w:p>
            <w:r>
              <w:rPr>
                <w:rFonts w:ascii="宋体" w:hAnsi="宋体" w:eastAsia="宋体"/>
                <w:sz w:val="20"/>
              </w:rPr>
            </w:r>
            <w:r>
              <w:rPr>
                <w:rFonts w:ascii="宋体" w:hAnsi="宋体" w:eastAsia="宋体"/>
                <w:sz w:val="20"/>
              </w:rPr>
              <w:t>第 \(n\) 个刷新窗口内接收的全部差分点集合</w:t>
            </w:r>
          </w:p>
        </w:tc>
        <w:tc>
          <w:tcPr>
            <w:tcW w:type="dxa" w:w="2880"/>
          </w:tcPr>
          <w:p>
            <w:r>
              <w:rPr>
                <w:rFonts w:ascii="宋体" w:hAnsi="宋体" w:eastAsia="宋体"/>
                <w:sz w:val="20"/>
              </w:rPr>
            </w:r>
            <w:r>
              <w:rPr>
                <w:rFonts w:ascii="宋体" w:hAnsi="宋体" w:eastAsia="宋体"/>
                <w:sz w:val="20"/>
              </w:rPr>
              <w:t>点状态集合</w:t>
            </w:r>
          </w:p>
        </w:tc>
      </w:tr>
      <w:tr>
        <w:tc>
          <w:tcPr>
            <w:tcW w:type="dxa" w:w="2880"/>
          </w:tcPr>
          <w:p>
            <w:r>
              <w:rPr>
                <w:rFonts w:ascii="宋体" w:hAnsi="宋体" w:eastAsia="宋体"/>
                <w:sz w:val="20"/>
              </w:rPr>
            </w:r>
            <w:r>
              <w:rPr>
                <w:rFonts w:ascii="宋体" w:hAnsi="宋体" w:eastAsia="宋体"/>
                <w:sz w:val="20"/>
              </w:rPr>
              <w:t>\(\hat{s}_{i,n}\)</w:t>
            </w:r>
          </w:p>
        </w:tc>
        <w:tc>
          <w:tcPr>
            <w:tcW w:type="dxa" w:w="2880"/>
          </w:tcPr>
          <w:p>
            <w:r>
              <w:rPr>
                <w:rFonts w:ascii="宋体" w:hAnsi="宋体" w:eastAsia="宋体"/>
                <w:sz w:val="20"/>
              </w:rPr>
            </w:r>
            <w:r>
              <w:rPr>
                <w:rFonts w:ascii="宋体" w:hAnsi="宋体" w:eastAsia="宋体"/>
                <w:sz w:val="20"/>
              </w:rPr>
              <w:t>第 \(n\) 个刷新窗口结束时点 \(i\) 的界面状态</w:t>
            </w:r>
          </w:p>
        </w:tc>
        <w:tc>
          <w:tcPr>
            <w:tcW w:type="dxa" w:w="2880"/>
          </w:tcPr>
          <w:p>
            <w:r>
              <w:rPr>
                <w:rFonts w:ascii="宋体" w:hAnsi="宋体" w:eastAsia="宋体"/>
                <w:sz w:val="20"/>
              </w:rPr>
            </w:r>
            <w:r>
              <w:rPr>
                <w:rFonts w:ascii="宋体" w:hAnsi="宋体" w:eastAsia="宋体"/>
                <w:sz w:val="20"/>
              </w:rPr>
              <w:t>点状态元组</w:t>
            </w:r>
          </w:p>
        </w:tc>
      </w:tr>
      <w:tr>
        <w:tc>
          <w:tcPr>
            <w:tcW w:type="dxa" w:w="2880"/>
          </w:tcPr>
          <w:p>
            <w:r>
              <w:rPr>
                <w:rFonts w:ascii="宋体" w:hAnsi="宋体" w:eastAsia="宋体"/>
                <w:sz w:val="20"/>
              </w:rPr>
            </w:r>
            <w:r>
              <w:rPr>
                <w:rFonts w:ascii="宋体" w:hAnsi="宋体" w:eastAsia="宋体"/>
                <w:sz w:val="20"/>
              </w:rPr>
              <w:t>\(k^*\)</w:t>
            </w:r>
          </w:p>
        </w:tc>
        <w:tc>
          <w:tcPr>
            <w:tcW w:type="dxa" w:w="2880"/>
          </w:tcPr>
          <w:p>
            <w:r>
              <w:rPr>
                <w:rFonts w:ascii="宋体" w:hAnsi="宋体" w:eastAsia="宋体"/>
                <w:sz w:val="20"/>
              </w:rPr>
            </w:r>
            <w:r>
              <w:rPr>
                <w:rFonts w:ascii="宋体" w:hAnsi="宋体" w:eastAsia="宋体"/>
                <w:sz w:val="20"/>
              </w:rPr>
              <w:t>刷新窗口内点 \(i\) 最后一次更新对应的检测周期</w:t>
            </w:r>
          </w:p>
        </w:tc>
        <w:tc>
          <w:tcPr>
            <w:tcW w:type="dxa" w:w="2880"/>
          </w:tcPr>
          <w:p>
            <w:r>
              <w:rPr>
                <w:rFonts w:ascii="宋体" w:hAnsi="宋体" w:eastAsia="宋体"/>
                <w:sz w:val="20"/>
              </w:rPr>
            </w:r>
            <w:r>
              <w:rPr>
                <w:rFonts w:ascii="宋体" w:hAnsi="宋体" w:eastAsia="宋体"/>
                <w:sz w:val="20"/>
              </w:rPr>
              <w:t>非负整数</w:t>
            </w:r>
          </w:p>
        </w:tc>
      </w:tr>
      <w:tr>
        <w:tc>
          <w:tcPr>
            <w:tcW w:type="dxa" w:w="2880"/>
          </w:tcPr>
          <w:p>
            <w:r>
              <w:rPr>
                <w:rFonts w:ascii="宋体" w:hAnsi="宋体" w:eastAsia="宋体"/>
                <w:sz w:val="20"/>
              </w:rPr>
            </w:r>
            <w:r>
              <w:rPr>
                <w:rFonts w:ascii="宋体" w:hAnsi="宋体" w:eastAsia="宋体"/>
                <w:sz w:val="20"/>
              </w:rPr>
              <w:t>\(R_n\)</w:t>
            </w:r>
          </w:p>
        </w:tc>
        <w:tc>
          <w:tcPr>
            <w:tcW w:type="dxa" w:w="2880"/>
          </w:tcPr>
          <w:p>
            <w:r>
              <w:rPr>
                <w:rFonts w:ascii="宋体" w:hAnsi="宋体" w:eastAsia="宋体"/>
                <w:sz w:val="20"/>
              </w:rPr>
            </w:r>
            <w:r>
              <w:rPr>
                <w:rFonts w:ascii="宋体" w:hAnsi="宋体" w:eastAsia="宋体"/>
                <w:sz w:val="20"/>
              </w:rPr>
              <w:t>第 \(n\) 个刷新窗口内保序保存的趋势记录序列</w:t>
            </w:r>
          </w:p>
        </w:tc>
        <w:tc>
          <w:tcPr>
            <w:tcW w:type="dxa" w:w="2880"/>
          </w:tcPr>
          <w:p>
            <w:r>
              <w:rPr>
                <w:rFonts w:ascii="宋体" w:hAnsi="宋体" w:eastAsia="宋体"/>
                <w:sz w:val="20"/>
              </w:rPr>
            </w:r>
            <w:r>
              <w:rPr>
                <w:rFonts w:ascii="宋体" w:hAnsi="宋体" w:eastAsia="宋体"/>
                <w:sz w:val="20"/>
              </w:rPr>
              <w:t>有序记录序列</w:t>
            </w:r>
          </w:p>
        </w:tc>
      </w:tr>
      <w:tr>
        <w:tc>
          <w:tcPr>
            <w:tcW w:type="dxa" w:w="2880"/>
          </w:tcPr>
          <w:p>
            <w:r>
              <w:rPr>
                <w:rFonts w:ascii="宋体" w:hAnsi="宋体" w:eastAsia="宋体"/>
                <w:sz w:val="20"/>
              </w:rPr>
            </w:r>
            <w:r>
              <w:rPr>
                <w:rFonts w:ascii="宋体" w:hAnsi="宋体" w:eastAsia="宋体"/>
                <w:sz w:val="20"/>
              </w:rPr>
              <w:t>\(L_{\max}\)</w:t>
            </w:r>
          </w:p>
        </w:tc>
        <w:tc>
          <w:tcPr>
            <w:tcW w:type="dxa" w:w="2880"/>
          </w:tcPr>
          <w:p>
            <w:r>
              <w:rPr>
                <w:rFonts w:ascii="宋体" w:hAnsi="宋体" w:eastAsia="宋体"/>
                <w:sz w:val="20"/>
              </w:rPr>
            </w:r>
            <w:r>
              <w:rPr>
                <w:rFonts w:ascii="宋体" w:hAnsi="宋体" w:eastAsia="宋体"/>
                <w:sz w:val="20"/>
              </w:rPr>
              <w:t>浏览器本地趋势记录上限</w:t>
            </w:r>
          </w:p>
        </w:tc>
        <w:tc>
          <w:tcPr>
            <w:tcW w:type="dxa" w:w="2880"/>
          </w:tcPr>
          <w:p>
            <w:r>
              <w:rPr>
                <w:rFonts w:ascii="宋体" w:hAnsi="宋体" w:eastAsia="宋体"/>
                <w:sz w:val="20"/>
              </w:rPr>
            </w:r>
            <w:r>
              <w:rPr>
                <w:rFonts w:ascii="宋体" w:hAnsi="宋体" w:eastAsia="宋体"/>
                <w:sz w:val="20"/>
              </w:rPr>
              <w:t>正整数</w:t>
            </w:r>
          </w:p>
        </w:tc>
      </w:tr>
    </w:tbl>
    <w:p>
      <w:pPr>
        <w:pStyle w:val="Heading4"/>
      </w:pPr>
      <w:r>
        <w:rPr>
          <w:rFonts w:ascii="宋体" w:hAnsi="宋体" w:eastAsia="宋体"/>
        </w:rPr>
        <w:t>（2）差分集合</w:t>
      </w:r>
    </w:p>
    <w:p>
      <w:pPr>
        <w:spacing w:after="120" w:line="276" w:lineRule="auto"/>
      </w:pPr>
      <w:r>
        <w:rPr>
          <w:rFonts w:ascii="宋体" w:hAnsi="宋体" w:eastAsia="宋体"/>
          <w:sz w:val="21"/>
        </w:rPr>
        <w:t>服务端以订阅建立时的快照或前一检测周期更新后的基线为参照，形成差分集合：</w:t>
      </w:r>
    </w:p>
    <w:p>
      <w:pPr>
        <w:keepLines/>
        <w:spacing w:after="120"/>
        <w:ind w:left="288"/>
      </w:pPr>
      <w:r>
        <w:rPr>
          <w:rFonts w:ascii="Consolas" w:hAnsi="Consolas" w:eastAsia="Consolas"/>
          <w:color w:val="202020"/>
          <w:sz w:val="18"/>
        </w:rPr>
        <w:t>$$</w:t>
        <w:br/>
        <w:t>\[</w:t>
        <w:br/>
        <w:t>\Delta_k=\{s_{i,k}\mid s_{i,k}\neq s_{i,k-1},\ i=1,\ldots,N\} \tag{1}</w:t>
        <w:br/>
        <w:t>\]</w:t>
        <w:br/>
        <w:t>$$</w:t>
      </w:r>
    </w:p>
    <w:p>
      <w:pPr>
        <w:spacing w:after="120" w:line="276" w:lineRule="auto"/>
      </w:pPr>
      <w:r>
        <w:rPr>
          <w:rFonts w:ascii="宋体" w:hAnsi="宋体" w:eastAsia="宋体"/>
          <w:sz w:val="21"/>
        </w:rPr>
        <w:t>其中，状态元组中值、时间戳或质量码任一项不同，均视为点状态发生变化。首次订阅不使用式（1）裁剪，而直接发送 \(S_k\) 作为全量快照。</w:t>
      </w:r>
    </w:p>
    <w:p>
      <w:pPr>
        <w:pStyle w:val="Heading4"/>
      </w:pPr>
      <w:r>
        <w:rPr>
          <w:rFonts w:ascii="宋体" w:hAnsi="宋体" w:eastAsia="宋体"/>
        </w:rPr>
        <w:t>（3）刷新窗口合并</w:t>
      </w:r>
    </w:p>
    <w:p>
      <w:pPr>
        <w:spacing w:after="120" w:line="276" w:lineRule="auto"/>
      </w:pPr>
      <w:r>
        <w:rPr>
          <w:rFonts w:ascii="宋体" w:hAnsi="宋体" w:eastAsia="宋体"/>
          <w:sz w:val="21"/>
        </w:rPr>
        <w:t>第 \(n\) 个浏览器刷新窗口的接收集合为：</w:t>
      </w:r>
    </w:p>
    <w:p>
      <w:pPr>
        <w:keepLines/>
        <w:spacing w:after="120"/>
        <w:ind w:left="288"/>
      </w:pPr>
      <w:r>
        <w:rPr>
          <w:rFonts w:ascii="Consolas" w:hAnsi="Consolas" w:eastAsia="Consolas"/>
          <w:color w:val="202020"/>
          <w:sz w:val="18"/>
        </w:rPr>
        <w:t>$$</w:t>
        <w:br/>
        <w:t>\[</w:t>
        <w:br/>
        <w:t>B_n=\bigcup_{(n-1)\tau_u&lt;t_k\leq n\tau_u}\Delta_k \tag{2}</w:t>
        <w:br/>
        <w:t>\]</w:t>
        <w:br/>
        <w:t>$$</w:t>
      </w:r>
    </w:p>
    <w:p>
      <w:pPr>
        <w:spacing w:after="120" w:line="276" w:lineRule="auto"/>
      </w:pPr>
      <w:r>
        <w:rPr>
          <w:rFonts w:ascii="宋体" w:hAnsi="宋体" w:eastAsia="宋体"/>
          <w:sz w:val="21"/>
        </w:rPr>
        <w:t>对于当前值和质量状态，采用按点覆盖的窗口末状态：</w:t>
      </w:r>
    </w:p>
    <w:p>
      <w:pPr>
        <w:keepLines/>
        <w:spacing w:after="120"/>
        <w:ind w:left="288"/>
      </w:pPr>
      <w:r>
        <w:rPr>
          <w:rFonts w:ascii="Consolas" w:hAnsi="Consolas" w:eastAsia="Consolas"/>
          <w:color w:val="202020"/>
          <w:sz w:val="18"/>
        </w:rPr>
        <w:t>$$</w:t>
        <w:br/>
        <w:t>\[</w:t>
        <w:br/>
        <w:t>\hat{s}_{i,n}=s_{i,k^*},\quad k^*=\max\{k\mid s_{i,k}\in B_n\} \tag{3}</w:t>
        <w:br/>
        <w:t>\]</w:t>
        <w:br/>
        <w:t>$$</w:t>
      </w:r>
    </w:p>
    <w:p>
      <w:pPr>
        <w:spacing w:after="120" w:line="276" w:lineRule="auto"/>
      </w:pPr>
      <w:r>
        <w:rPr>
          <w:rFonts w:ascii="宋体" w:hAnsi="宋体" w:eastAsia="宋体"/>
          <w:sz w:val="21"/>
        </w:rPr>
        <w:t>若点 \(i\) 在该窗口内没有更新，则沿用上一窗口的 \(\hat{s}_{i,n-1}\)。式（3）只用于当前状态面板的合并，不删除趋势记录。</w:t>
      </w:r>
    </w:p>
    <w:p>
      <w:pPr>
        <w:pStyle w:val="Heading4"/>
      </w:pPr>
      <w:r>
        <w:rPr>
          <w:rFonts w:ascii="宋体" w:hAnsi="宋体" w:eastAsia="宋体"/>
        </w:rPr>
        <w:t>（4）趋势记录保序与容量约束</w:t>
      </w:r>
    </w:p>
    <w:p>
      <w:pPr>
        <w:spacing w:after="120" w:line="276" w:lineRule="auto"/>
      </w:pPr>
      <w:r>
        <w:rPr>
          <w:rFonts w:ascii="宋体" w:hAnsi="宋体" w:eastAsia="宋体"/>
          <w:sz w:val="21"/>
        </w:rPr>
        <w:t>对用户选中的点，将窗口内记录按到达顺序组成 \(R_n\)，并整体增量写入列式流式表。浏览器本地保存的记录总数超过 \(L_{\max}\) 时，从最早记录开始淘汰，使保留记录数满足：</w:t>
      </w:r>
    </w:p>
    <w:p>
      <w:pPr>
        <w:keepLines/>
        <w:spacing w:after="120"/>
        <w:ind w:left="288"/>
      </w:pPr>
      <w:r>
        <w:rPr>
          <w:rFonts w:ascii="Consolas" w:hAnsi="Consolas" w:eastAsia="Consolas"/>
          <w:color w:val="202020"/>
          <w:sz w:val="18"/>
        </w:rPr>
        <w:t>$$</w:t>
        <w:br/>
        <w:t>\[</w:t>
        <w:br/>
        <w:t>0\leq |R|\leq L_{\max} \tag{4}</w:t>
        <w:br/>
        <w:t>\]</w:t>
        <w:br/>
        <w:t>$$</w:t>
      </w:r>
    </w:p>
    <w:p>
      <w:pPr>
        <w:spacing w:after="120" w:line="276" w:lineRule="auto"/>
      </w:pPr>
      <w:r>
        <w:rPr>
          <w:rFonts w:ascii="宋体" w:hAnsi="宋体" w:eastAsia="宋体"/>
          <w:sz w:val="21"/>
        </w:rPr>
        <w:t>由此，当前值路径通过式（3）减少同一点重复界面写入，趋势路径则保持刷新窗口内记录顺序，两者共享同一批差分但采用不同保留语义。</w:t>
      </w:r>
    </w:p>
    <w:p>
      <w:pPr>
        <w:pStyle w:val="Heading3"/>
      </w:pPr>
      <w:r>
        <w:rPr>
          <w:rFonts w:ascii="宋体" w:hAnsi="宋体" w:eastAsia="宋体"/>
        </w:rPr>
        <w:t>3.5 关键技术参数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参数</w:t>
            </w:r>
          </w:p>
        </w:tc>
        <w:tc>
          <w:tcPr>
            <w:tcW w:type="dxa" w:w="2160"/>
          </w:tcPr>
          <w:p>
            <w:r>
              <w:rPr>
                <w:rFonts w:ascii="宋体" w:hAnsi="宋体" w:eastAsia="宋体"/>
                <w:sz w:val="20"/>
              </w:rPr>
            </w:r>
            <w:r>
              <w:rPr>
                <w:rFonts w:ascii="宋体" w:hAnsi="宋体" w:eastAsia="宋体"/>
                <w:sz w:val="20"/>
              </w:rPr>
              <w:t>符号</w:t>
            </w:r>
          </w:p>
        </w:tc>
        <w:tc>
          <w:tcPr>
            <w:tcW w:type="dxa" w:w="2160"/>
          </w:tcPr>
          <w:p>
            <w:r>
              <w:rPr>
                <w:rFonts w:ascii="宋体" w:hAnsi="宋体" w:eastAsia="宋体"/>
                <w:sz w:val="20"/>
              </w:rPr>
            </w:r>
            <w:r>
              <w:rPr>
                <w:rFonts w:ascii="宋体" w:hAnsi="宋体" w:eastAsia="宋体"/>
                <w:sz w:val="20"/>
              </w:rPr>
              <w:t>建议或示例范围</w:t>
            </w:r>
          </w:p>
        </w:tc>
        <w:tc>
          <w:tcPr>
            <w:tcW w:type="dxa" w:w="2160"/>
          </w:tcPr>
          <w:p>
            <w:r>
              <w:rPr>
                <w:rFonts w:ascii="宋体" w:hAnsi="宋体" w:eastAsia="宋体"/>
                <w:sz w:val="20"/>
              </w:rPr>
            </w:r>
            <w:r>
              <w:rPr>
                <w:rFonts w:ascii="宋体" w:hAnsi="宋体" w:eastAsia="宋体"/>
                <w:sz w:val="20"/>
              </w:rPr>
              <w:t>作用及约束</w:t>
            </w:r>
          </w:p>
        </w:tc>
      </w:tr>
      <w:tr>
        <w:tc>
          <w:tcPr>
            <w:tcW w:type="dxa" w:w="2160"/>
          </w:tcPr>
          <w:p>
            <w:r>
              <w:rPr>
                <w:rFonts w:ascii="宋体" w:hAnsi="宋体" w:eastAsia="宋体"/>
                <w:sz w:val="20"/>
              </w:rPr>
            </w:r>
            <w:r>
              <w:rPr>
                <w:rFonts w:ascii="宋体" w:hAnsi="宋体" w:eastAsia="宋体"/>
                <w:sz w:val="20"/>
              </w:rPr>
              <w:t>服务端状态检测周期</w:t>
            </w:r>
          </w:p>
        </w:tc>
        <w:tc>
          <w:tcPr>
            <w:tcW w:type="dxa" w:w="2160"/>
          </w:tcPr>
          <w:p>
            <w:r>
              <w:rPr>
                <w:rFonts w:ascii="宋体" w:hAnsi="宋体" w:eastAsia="宋体"/>
                <w:sz w:val="20"/>
              </w:rPr>
            </w:r>
            <w:r>
              <w:rPr>
                <w:rFonts w:ascii="宋体" w:hAnsi="宋体" w:eastAsia="宋体"/>
                <w:sz w:val="20"/>
              </w:rPr>
              <w:t>\(t_k-t_{k-1}\)</w:t>
            </w:r>
          </w:p>
        </w:tc>
        <w:tc>
          <w:tcPr>
            <w:tcW w:type="dxa" w:w="2160"/>
          </w:tcPr>
          <w:p>
            <w:r>
              <w:rPr>
                <w:rFonts w:ascii="宋体" w:hAnsi="宋体" w:eastAsia="宋体"/>
                <w:sz w:val="20"/>
              </w:rPr>
            </w:r>
            <w:r>
              <w:rPr>
                <w:rFonts w:ascii="宋体" w:hAnsi="宋体" w:eastAsia="宋体"/>
                <w:sz w:val="20"/>
              </w:rPr>
              <w:t>可为 0.05—1 秒，实施例为 0.1 秒</w:t>
            </w:r>
          </w:p>
        </w:tc>
        <w:tc>
          <w:tcPr>
            <w:tcW w:type="dxa" w:w="2160"/>
          </w:tcPr>
          <w:p>
            <w:r>
              <w:rPr>
                <w:rFonts w:ascii="宋体" w:hAnsi="宋体" w:eastAsia="宋体"/>
                <w:sz w:val="20"/>
              </w:rPr>
            </w:r>
            <w:r>
              <w:rPr>
                <w:rFonts w:ascii="宋体" w:hAnsi="宋体" w:eastAsia="宋体"/>
                <w:sz w:val="20"/>
              </w:rPr>
              <w:t>决定最新状态比较频率，不作为权利要求的固定限制</w:t>
            </w:r>
          </w:p>
        </w:tc>
      </w:tr>
      <w:tr>
        <w:tc>
          <w:tcPr>
            <w:tcW w:type="dxa" w:w="2160"/>
          </w:tcPr>
          <w:p>
            <w:r>
              <w:rPr>
                <w:rFonts w:ascii="宋体" w:hAnsi="宋体" w:eastAsia="宋体"/>
                <w:sz w:val="20"/>
              </w:rPr>
            </w:r>
            <w:r>
              <w:rPr>
                <w:rFonts w:ascii="宋体" w:hAnsi="宋体" w:eastAsia="宋体"/>
                <w:sz w:val="20"/>
              </w:rPr>
              <w:t>用户浏览器刷新周期</w:t>
            </w:r>
          </w:p>
        </w:tc>
        <w:tc>
          <w:tcPr>
            <w:tcW w:type="dxa" w:w="2160"/>
          </w:tcPr>
          <w:p>
            <w:r>
              <w:rPr>
                <w:rFonts w:ascii="宋体" w:hAnsi="宋体" w:eastAsia="宋体"/>
                <w:sz w:val="20"/>
              </w:rPr>
            </w:r>
            <w:r>
              <w:rPr>
                <w:rFonts w:ascii="宋体" w:hAnsi="宋体" w:eastAsia="宋体"/>
                <w:sz w:val="20"/>
              </w:rPr>
              <w:t>\(\tau_u\)</w:t>
            </w:r>
          </w:p>
        </w:tc>
        <w:tc>
          <w:tcPr>
            <w:tcW w:type="dxa" w:w="2160"/>
          </w:tcPr>
          <w:p>
            <w:r>
              <w:rPr>
                <w:rFonts w:ascii="宋体" w:hAnsi="宋体" w:eastAsia="宋体"/>
                <w:sz w:val="20"/>
              </w:rPr>
            </w:r>
            <w:r>
              <w:rPr>
                <w:rFonts w:ascii="宋体" w:hAnsi="宋体" w:eastAsia="宋体"/>
                <w:sz w:val="20"/>
              </w:rPr>
              <w:t>可为 0.1—30 秒，实施例为 1 秒</w:t>
            </w:r>
          </w:p>
        </w:tc>
        <w:tc>
          <w:tcPr>
            <w:tcW w:type="dxa" w:w="2160"/>
          </w:tcPr>
          <w:p>
            <w:r>
              <w:rPr>
                <w:rFonts w:ascii="宋体" w:hAnsi="宋体" w:eastAsia="宋体"/>
                <w:sz w:val="20"/>
              </w:rPr>
            </w:r>
            <w:r>
              <w:rPr>
                <w:rFonts w:ascii="宋体" w:hAnsi="宋体" w:eastAsia="宋体"/>
                <w:sz w:val="20"/>
              </w:rPr>
              <w:t>用于将消息到达频率与界面刷新频率解耦，必须为正值</w:t>
            </w:r>
          </w:p>
        </w:tc>
      </w:tr>
      <w:tr>
        <w:tc>
          <w:tcPr>
            <w:tcW w:type="dxa" w:w="2160"/>
          </w:tcPr>
          <w:p>
            <w:r>
              <w:rPr>
                <w:rFonts w:ascii="宋体" w:hAnsi="宋体" w:eastAsia="宋体"/>
                <w:sz w:val="20"/>
              </w:rPr>
            </w:r>
            <w:r>
              <w:rPr>
                <w:rFonts w:ascii="宋体" w:hAnsi="宋体" w:eastAsia="宋体"/>
                <w:sz w:val="20"/>
              </w:rPr>
              <w:t>点数量</w:t>
            </w:r>
          </w:p>
        </w:tc>
        <w:tc>
          <w:tcPr>
            <w:tcW w:type="dxa" w:w="2160"/>
          </w:tcPr>
          <w:p>
            <w:r>
              <w:rPr>
                <w:rFonts w:ascii="宋体" w:hAnsi="宋体" w:eastAsia="宋体"/>
                <w:sz w:val="20"/>
              </w:rPr>
            </w:r>
            <w:r>
              <w:rPr>
                <w:rFonts w:ascii="宋体" w:hAnsi="宋体" w:eastAsia="宋体"/>
                <w:sz w:val="20"/>
              </w:rPr>
              <w:t>\(N\)</w:t>
            </w:r>
          </w:p>
        </w:tc>
        <w:tc>
          <w:tcPr>
            <w:tcW w:type="dxa" w:w="2160"/>
          </w:tcPr>
          <w:p>
            <w:r>
              <w:rPr>
                <w:rFonts w:ascii="宋体" w:hAnsi="宋体" w:eastAsia="宋体"/>
                <w:sz w:val="20"/>
              </w:rPr>
            </w:r>
            <w:r>
              <w:rPr>
                <w:rFonts w:ascii="宋体" w:hAnsi="宋体" w:eastAsia="宋体"/>
                <w:sz w:val="20"/>
              </w:rPr>
              <w:t>根据设备及点组配置确定</w:t>
            </w:r>
          </w:p>
        </w:tc>
        <w:tc>
          <w:tcPr>
            <w:tcW w:type="dxa" w:w="2160"/>
          </w:tcPr>
          <w:p>
            <w:r>
              <w:rPr>
                <w:rFonts w:ascii="宋体" w:hAnsi="宋体" w:eastAsia="宋体"/>
                <w:sz w:val="20"/>
              </w:rPr>
            </w:r>
            <w:r>
              <w:rPr>
                <w:rFonts w:ascii="宋体" w:hAnsi="宋体" w:eastAsia="宋体"/>
                <w:sz w:val="20"/>
              </w:rPr>
              <w:t>同一订阅键下参与快照和差分比较的点数</w:t>
            </w:r>
          </w:p>
        </w:tc>
      </w:tr>
      <w:tr>
        <w:tc>
          <w:tcPr>
            <w:tcW w:type="dxa" w:w="2160"/>
          </w:tcPr>
          <w:p>
            <w:r>
              <w:rPr>
                <w:rFonts w:ascii="宋体" w:hAnsi="宋体" w:eastAsia="宋体"/>
                <w:sz w:val="20"/>
              </w:rPr>
            </w:r>
            <w:r>
              <w:rPr>
                <w:rFonts w:ascii="宋体" w:hAnsi="宋体" w:eastAsia="宋体"/>
                <w:sz w:val="20"/>
              </w:rPr>
              <w:t>浏览器本地趋势记录上限</w:t>
            </w:r>
          </w:p>
        </w:tc>
        <w:tc>
          <w:tcPr>
            <w:tcW w:type="dxa" w:w="2160"/>
          </w:tcPr>
          <w:p>
            <w:r>
              <w:rPr>
                <w:rFonts w:ascii="宋体" w:hAnsi="宋体" w:eastAsia="宋体"/>
                <w:sz w:val="20"/>
              </w:rPr>
            </w:r>
            <w:r>
              <w:rPr>
                <w:rFonts w:ascii="宋体" w:hAnsi="宋体" w:eastAsia="宋体"/>
                <w:sz w:val="20"/>
              </w:rPr>
              <w:t>\(L_{\max}\)</w:t>
            </w:r>
          </w:p>
        </w:tc>
        <w:tc>
          <w:tcPr>
            <w:tcW w:type="dxa" w:w="2160"/>
          </w:tcPr>
          <w:p>
            <w:r>
              <w:rPr>
                <w:rFonts w:ascii="宋体" w:hAnsi="宋体" w:eastAsia="宋体"/>
                <w:sz w:val="20"/>
              </w:rPr>
            </w:r>
            <w:r>
              <w:rPr>
                <w:rFonts w:ascii="宋体" w:hAnsi="宋体" w:eastAsia="宋体"/>
                <w:sz w:val="20"/>
              </w:rPr>
              <w:t>可为 500—100000 条</w:t>
            </w:r>
          </w:p>
        </w:tc>
        <w:tc>
          <w:tcPr>
            <w:tcW w:type="dxa" w:w="2160"/>
          </w:tcPr>
          <w:p>
            <w:r>
              <w:rPr>
                <w:rFonts w:ascii="宋体" w:hAnsi="宋体" w:eastAsia="宋体"/>
                <w:sz w:val="20"/>
              </w:rPr>
            </w:r>
            <w:r>
              <w:rPr>
                <w:rFonts w:ascii="宋体" w:hAnsi="宋体" w:eastAsia="宋体"/>
                <w:sz w:val="20"/>
              </w:rPr>
              <w:t>超限时淘汰最早记录，避免长期运行时无界增长</w:t>
            </w:r>
          </w:p>
        </w:tc>
      </w:tr>
      <w:tr>
        <w:tc>
          <w:tcPr>
            <w:tcW w:type="dxa" w:w="2160"/>
          </w:tcPr>
          <w:p>
            <w:r>
              <w:rPr>
                <w:rFonts w:ascii="宋体" w:hAnsi="宋体" w:eastAsia="宋体"/>
                <w:sz w:val="20"/>
              </w:rPr>
            </w:r>
            <w:r>
              <w:rPr>
                <w:rFonts w:ascii="宋体" w:hAnsi="宋体" w:eastAsia="宋体"/>
                <w:sz w:val="20"/>
              </w:rPr>
              <w:t>设备采样周期</w:t>
            </w:r>
          </w:p>
        </w:tc>
        <w:tc>
          <w:tcPr>
            <w:tcW w:type="dxa" w:w="2160"/>
          </w:tcPr>
          <w:p>
            <w:r>
              <w:rPr>
                <w:rFonts w:ascii="宋体" w:hAnsi="宋体" w:eastAsia="宋体"/>
                <w:sz w:val="20"/>
              </w:rPr>
            </w:r>
            <w:r>
              <w:rPr>
                <w:rFonts w:ascii="宋体" w:hAnsi="宋体" w:eastAsia="宋体"/>
                <w:sz w:val="20"/>
              </w:rPr>
              <w:t>—</w:t>
            </w:r>
          </w:p>
        </w:tc>
        <w:tc>
          <w:tcPr>
            <w:tcW w:type="dxa" w:w="2160"/>
          </w:tcPr>
          <w:p>
            <w:r>
              <w:rPr>
                <w:rFonts w:ascii="宋体" w:hAnsi="宋体" w:eastAsia="宋体"/>
                <w:sz w:val="20"/>
              </w:rPr>
            </w:r>
            <w:r>
              <w:rPr>
                <w:rFonts w:ascii="宋体" w:hAnsi="宋体" w:eastAsia="宋体"/>
                <w:sz w:val="20"/>
              </w:rPr>
              <w:t>可为 0.01 秒以上的正值</w:t>
            </w:r>
          </w:p>
        </w:tc>
        <w:tc>
          <w:tcPr>
            <w:tcW w:type="dxa" w:w="2160"/>
          </w:tcPr>
          <w:p>
            <w:r>
              <w:rPr>
                <w:rFonts w:ascii="宋体" w:hAnsi="宋体" w:eastAsia="宋体"/>
                <w:sz w:val="20"/>
              </w:rPr>
            </w:r>
            <w:r>
              <w:rPr>
                <w:rFonts w:ascii="宋体" w:hAnsi="宋体" w:eastAsia="宋体"/>
                <w:sz w:val="20"/>
              </w:rPr>
              <w:t>按设备和采样周期形成任务；可与 \(\tau_u\) 不同</w:t>
            </w:r>
          </w:p>
        </w:tc>
      </w:tr>
      <w:tr>
        <w:tc>
          <w:tcPr>
            <w:tcW w:type="dxa" w:w="2160"/>
          </w:tcPr>
          <w:p>
            <w:r>
              <w:rPr>
                <w:rFonts w:ascii="宋体" w:hAnsi="宋体" w:eastAsia="宋体"/>
                <w:sz w:val="20"/>
              </w:rPr>
            </w:r>
            <w:r>
              <w:rPr>
                <w:rFonts w:ascii="宋体" w:hAnsi="宋体" w:eastAsia="宋体"/>
                <w:sz w:val="20"/>
              </w:rPr>
              <w:t>短窗口帧数</w:t>
            </w:r>
          </w:p>
        </w:tc>
        <w:tc>
          <w:tcPr>
            <w:tcW w:type="dxa" w:w="2160"/>
          </w:tcPr>
          <w:p>
            <w:r>
              <w:rPr>
                <w:rFonts w:ascii="宋体" w:hAnsi="宋体" w:eastAsia="宋体"/>
                <w:sz w:val="20"/>
              </w:rPr>
            </w:r>
            <w:r>
              <w:rPr>
                <w:rFonts w:ascii="宋体" w:hAnsi="宋体" w:eastAsia="宋体"/>
                <w:sz w:val="20"/>
              </w:rPr>
              <w:t>—</w:t>
            </w:r>
          </w:p>
        </w:tc>
        <w:tc>
          <w:tcPr>
            <w:tcW w:type="dxa" w:w="2160"/>
          </w:tcPr>
          <w:p>
            <w:r>
              <w:rPr>
                <w:rFonts w:ascii="宋体" w:hAnsi="宋体" w:eastAsia="宋体"/>
                <w:sz w:val="20"/>
              </w:rPr>
            </w:r>
            <w:r>
              <w:rPr>
                <w:rFonts w:ascii="宋体" w:hAnsi="宋体" w:eastAsia="宋体"/>
                <w:sz w:val="20"/>
              </w:rPr>
              <w:t>可为 2—100 帧，实施例为最近 10 帧</w:t>
            </w:r>
          </w:p>
        </w:tc>
        <w:tc>
          <w:tcPr>
            <w:tcW w:type="dxa" w:w="2160"/>
          </w:tcPr>
          <w:p>
            <w:r>
              <w:rPr>
                <w:rFonts w:ascii="宋体" w:hAnsi="宋体" w:eastAsia="宋体"/>
                <w:sz w:val="20"/>
              </w:rPr>
            </w:r>
            <w:r>
              <w:rPr>
                <w:rFonts w:ascii="宋体" w:hAnsi="宋体" w:eastAsia="宋体"/>
                <w:sz w:val="20"/>
              </w:rPr>
              <w:t>用于短时完整帧回看，不等同于历史数据库</w:t>
            </w:r>
          </w:p>
        </w:tc>
      </w:tr>
      <w:tr>
        <w:tc>
          <w:tcPr>
            <w:tcW w:type="dxa" w:w="2160"/>
          </w:tcPr>
          <w:p>
            <w:r>
              <w:rPr>
                <w:rFonts w:ascii="宋体" w:hAnsi="宋体" w:eastAsia="宋体"/>
                <w:sz w:val="20"/>
              </w:rPr>
            </w:r>
            <w:r>
              <w:rPr>
                <w:rFonts w:ascii="宋体" w:hAnsi="宋体" w:eastAsia="宋体"/>
                <w:sz w:val="20"/>
              </w:rPr>
              <w:t>有限执行器最大待处理数</w:t>
            </w:r>
          </w:p>
        </w:tc>
        <w:tc>
          <w:tcPr>
            <w:tcW w:type="dxa" w:w="2160"/>
          </w:tcPr>
          <w:p>
            <w:r>
              <w:rPr>
                <w:rFonts w:ascii="宋体" w:hAnsi="宋体" w:eastAsia="宋体"/>
                <w:sz w:val="20"/>
              </w:rPr>
            </w:r>
            <w:r>
              <w:rPr>
                <w:rFonts w:ascii="宋体" w:hAnsi="宋体" w:eastAsia="宋体"/>
                <w:sz w:val="20"/>
              </w:rPr>
              <w:t>—</w:t>
            </w:r>
          </w:p>
        </w:tc>
        <w:tc>
          <w:tcPr>
            <w:tcW w:type="dxa" w:w="2160"/>
          </w:tcPr>
          <w:p>
            <w:r>
              <w:rPr>
                <w:rFonts w:ascii="宋体" w:hAnsi="宋体" w:eastAsia="宋体"/>
                <w:sz w:val="20"/>
              </w:rPr>
            </w:r>
            <w:r>
              <w:rPr>
                <w:rFonts w:ascii="宋体" w:hAnsi="宋体" w:eastAsia="宋体"/>
                <w:sz w:val="20"/>
              </w:rPr>
              <w:t>大于零的整数</w:t>
            </w:r>
          </w:p>
        </w:tc>
        <w:tc>
          <w:tcPr>
            <w:tcW w:type="dxa" w:w="2160"/>
          </w:tcPr>
          <w:p>
            <w:r>
              <w:rPr>
                <w:rFonts w:ascii="宋体" w:hAnsi="宋体" w:eastAsia="宋体"/>
                <w:sz w:val="20"/>
              </w:rPr>
            </w:r>
            <w:r>
              <w:rPr>
                <w:rFonts w:ascii="宋体" w:hAnsi="宋体" w:eastAsia="宋体"/>
                <w:sz w:val="20"/>
              </w:rPr>
              <w:t>限制读取、解析或缓存写入排队深度</w:t>
            </w:r>
          </w:p>
        </w:tc>
      </w:tr>
      <w:tr>
        <w:tc>
          <w:tcPr>
            <w:tcW w:type="dxa" w:w="2160"/>
          </w:tcPr>
          <w:p>
            <w:r>
              <w:rPr>
                <w:rFonts w:ascii="宋体" w:hAnsi="宋体" w:eastAsia="宋体"/>
                <w:sz w:val="20"/>
              </w:rPr>
            </w:r>
            <w:r>
              <w:rPr>
                <w:rFonts w:ascii="宋体" w:hAnsi="宋体" w:eastAsia="宋体"/>
                <w:sz w:val="20"/>
              </w:rPr>
              <w:t>待处理消息最小空闲时长</w:t>
            </w:r>
          </w:p>
        </w:tc>
        <w:tc>
          <w:tcPr>
            <w:tcW w:type="dxa" w:w="2160"/>
          </w:tcPr>
          <w:p>
            <w:r>
              <w:rPr>
                <w:rFonts w:ascii="宋体" w:hAnsi="宋体" w:eastAsia="宋体"/>
                <w:sz w:val="20"/>
              </w:rPr>
            </w:r>
            <w:r>
              <w:rPr>
                <w:rFonts w:ascii="宋体" w:hAnsi="宋体" w:eastAsia="宋体"/>
                <w:sz w:val="20"/>
              </w:rPr>
              <w:t>—</w:t>
            </w:r>
          </w:p>
        </w:tc>
        <w:tc>
          <w:tcPr>
            <w:tcW w:type="dxa" w:w="2160"/>
          </w:tcPr>
          <w:p>
            <w:r>
              <w:rPr>
                <w:rFonts w:ascii="宋体" w:hAnsi="宋体" w:eastAsia="宋体"/>
                <w:sz w:val="20"/>
              </w:rPr>
            </w:r>
            <w:r>
              <w:rPr>
                <w:rFonts w:ascii="宋体" w:hAnsi="宋体" w:eastAsia="宋体"/>
                <w:sz w:val="20"/>
              </w:rPr>
              <w:t>根据网络和数据库响应设定</w:t>
            </w:r>
          </w:p>
        </w:tc>
        <w:tc>
          <w:tcPr>
            <w:tcW w:type="dxa" w:w="2160"/>
          </w:tcPr>
          <w:p>
            <w:r>
              <w:rPr>
                <w:rFonts w:ascii="宋体" w:hAnsi="宋体" w:eastAsia="宋体"/>
                <w:sz w:val="20"/>
              </w:rPr>
            </w:r>
            <w:r>
              <w:rPr>
                <w:rFonts w:ascii="宋体" w:hAnsi="宋体" w:eastAsia="宋体"/>
                <w:sz w:val="20"/>
              </w:rPr>
              <w:t>超过该时长的消息可被重新认领</w:t>
            </w:r>
          </w:p>
        </w:tc>
      </w:tr>
      <w:tr>
        <w:tc>
          <w:tcPr>
            <w:tcW w:type="dxa" w:w="2160"/>
          </w:tcPr>
          <w:p>
            <w:r>
              <w:rPr>
                <w:rFonts w:ascii="宋体" w:hAnsi="宋体" w:eastAsia="宋体"/>
                <w:sz w:val="20"/>
              </w:rPr>
            </w:r>
            <w:r>
              <w:rPr>
                <w:rFonts w:ascii="宋体" w:hAnsi="宋体" w:eastAsia="宋体"/>
                <w:sz w:val="20"/>
              </w:rPr>
              <w:t>最大投递次数</w:t>
            </w:r>
          </w:p>
        </w:tc>
        <w:tc>
          <w:tcPr>
            <w:tcW w:type="dxa" w:w="2160"/>
          </w:tcPr>
          <w:p>
            <w:r>
              <w:rPr>
                <w:rFonts w:ascii="宋体" w:hAnsi="宋体" w:eastAsia="宋体"/>
                <w:sz w:val="20"/>
              </w:rPr>
            </w:r>
            <w:r>
              <w:rPr>
                <w:rFonts w:ascii="宋体" w:hAnsi="宋体" w:eastAsia="宋体"/>
                <w:sz w:val="20"/>
              </w:rPr>
              <w:t>—</w:t>
            </w:r>
          </w:p>
        </w:tc>
        <w:tc>
          <w:tcPr>
            <w:tcW w:type="dxa" w:w="2160"/>
          </w:tcPr>
          <w:p>
            <w:r>
              <w:rPr>
                <w:rFonts w:ascii="宋体" w:hAnsi="宋体" w:eastAsia="宋体"/>
                <w:sz w:val="20"/>
              </w:rPr>
            </w:r>
            <w:r>
              <w:rPr>
                <w:rFonts w:ascii="宋体" w:hAnsi="宋体" w:eastAsia="宋体"/>
                <w:sz w:val="20"/>
              </w:rPr>
              <w:t>大于零的整数</w:t>
            </w:r>
          </w:p>
        </w:tc>
        <w:tc>
          <w:tcPr>
            <w:tcW w:type="dxa" w:w="2160"/>
          </w:tcPr>
          <w:p>
            <w:r>
              <w:rPr>
                <w:rFonts w:ascii="宋体" w:hAnsi="宋体" w:eastAsia="宋体"/>
                <w:sz w:val="20"/>
              </w:rPr>
            </w:r>
            <w:r>
              <w:rPr>
                <w:rFonts w:ascii="宋体" w:hAnsi="宋体" w:eastAsia="宋体"/>
                <w:sz w:val="20"/>
              </w:rPr>
              <w:t>超限且成功写入死信队列后才确认原消息</w:t>
            </w:r>
          </w:p>
        </w:tc>
      </w:tr>
    </w:tbl>
    <w:p>
      <w:pPr>
        <w:spacing w:after="120" w:line="276" w:lineRule="auto"/>
      </w:pPr>
      <w:r>
        <w:rPr>
          <w:rFonts w:ascii="宋体" w:hAnsi="宋体" w:eastAsia="宋体"/>
          <w:sz w:val="21"/>
        </w:rPr>
        <w:t>上述范围为便于实施和调优的示例，不作为权利要求范围的限定。实际参数可根据设备数量、采样频率、网络带宽、浏览器性能和历史数据库写入能力确定。</w:t>
      </w:r>
    </w:p>
    <w:p>
      <w:pPr>
        <w:pStyle w:val="Heading2"/>
      </w:pPr>
      <w:r>
        <w:rPr>
          <w:rFonts w:ascii="黑体" w:hAnsi="黑体" w:eastAsia="黑体"/>
        </w:rPr>
        <w:t>四、与现有技术相比，本发明具有哪些优点？</w:t>
      </w:r>
    </w:p>
    <w:p>
      <w:pPr>
        <w:spacing w:after="120" w:line="276" w:lineRule="auto"/>
      </w:pPr>
      <w:r>
        <w:rPr>
          <w:rFonts w:ascii="宋体" w:hAnsi="宋体" w:eastAsia="宋体"/>
          <w:sz w:val="21"/>
        </w:rPr>
        <w:t>（1）多协议接入不是简单并列堆叠。协议适配器保留连续块读取、节点集合读取、代理进程和外部推送等差异化手段，同时在输出端统一为同一种点状态记录，兼顾采集效率与平台一致性。</w:t>
      </w:r>
    </w:p>
    <w:p>
      <w:pPr>
        <w:spacing w:after="120" w:line="276" w:lineRule="auto"/>
      </w:pPr>
      <w:r>
        <w:rPr>
          <w:rFonts w:ascii="宋体" w:hAnsi="宋体" w:eastAsia="宋体"/>
          <w:sz w:val="21"/>
        </w:rPr>
        <w:t>（2）通过“首次全量快照+后续状态差分”建立明确的同步基线。新订阅和重连能够立即恢复完整当前状态，稳定连接期间仅处理相对于基线发生变化的点状态；设备持续离线时也不会重复广播相同离线事件。</w:t>
      </w:r>
    </w:p>
    <w:p>
      <w:pPr>
        <w:spacing w:after="120" w:line="276" w:lineRule="auto"/>
      </w:pPr>
      <w:r>
        <w:rPr>
          <w:rFonts w:ascii="宋体" w:hAnsi="宋体" w:eastAsia="宋体"/>
          <w:sz w:val="21"/>
        </w:rPr>
        <w:t>（3）服务端消息检测频率、设备采样频率和用户界面刷新频率彼此解耦。浏览器在一个刷新窗口内对当前值按点覆盖，减少重复响应式写入；同时保序保存趋势记录，避免以简单节流方式牺牲趋势数据。</w:t>
      </w:r>
    </w:p>
    <w:p>
      <w:pPr>
        <w:spacing w:after="120" w:line="276" w:lineRule="auto"/>
      </w:pPr>
      <w:r>
        <w:rPr>
          <w:rFonts w:ascii="宋体" w:hAnsi="宋体" w:eastAsia="宋体"/>
          <w:sz w:val="21"/>
        </w:rPr>
        <w:t>（4）浏览器侧列式流式表只接收新增记录，并在独立工作线程中完成数据组织、查询和视图刷新，避免每次更新都重建完整历史数组。数值型点和状态型点可分别使用适合其语义的视图。</w:t>
      </w:r>
    </w:p>
    <w:p>
      <w:pPr>
        <w:spacing w:after="120" w:line="276" w:lineRule="auto"/>
      </w:pPr>
      <w:r>
        <w:rPr>
          <w:rFonts w:ascii="宋体" w:hAnsi="宋体" w:eastAsia="宋体"/>
          <w:sz w:val="21"/>
        </w:rPr>
        <w:t>（5）统一点标识、时间戳和质量码贯穿实时状态、趋势显示和历史持久化，使多协议设备在同一页面、同一接口和同一存储映射中被一致处理。</w:t>
      </w:r>
    </w:p>
    <w:p>
      <w:pPr>
        <w:spacing w:after="120" w:line="276" w:lineRule="auto"/>
      </w:pPr>
      <w:r>
        <w:rPr>
          <w:rFonts w:ascii="宋体" w:hAnsi="宋体" w:eastAsia="宋体"/>
          <w:sz w:val="21"/>
        </w:rPr>
        <w:t>（6）不可变任务快照和设备代际门控阻止旧配置结果写入；“短窗口和消息流先写、最新状态后写”的次序减少监控端看见未完成批次的概率；有限执行器避免异步任务无界积压。</w:t>
      </w:r>
    </w:p>
    <w:p>
      <w:pPr>
        <w:spacing w:after="120" w:line="276" w:lineRule="auto"/>
      </w:pPr>
      <w:r>
        <w:rPr>
          <w:rFonts w:ascii="宋体" w:hAnsi="宋体" w:eastAsia="宋体"/>
          <w:sz w:val="21"/>
        </w:rPr>
        <w:t>（7）历史写入对已落库、坏数据和可重试错误进行行级分流，确认、重试和死信隔离的条件互相约束，既避免连接类错误被误送死信，也避免坏数据永久阻塞正常数据。</w:t>
      </w:r>
    </w:p>
    <w:p>
      <w:pPr>
        <w:pStyle w:val="Heading2"/>
      </w:pPr>
      <w:r>
        <w:rPr>
          <w:rFonts w:ascii="黑体" w:hAnsi="黑体" w:eastAsia="黑体"/>
        </w:rPr>
        <w:t>五、本发明的技术关键点和欲保护点是什么？</w:t>
      </w:r>
    </w:p>
    <w:p>
      <w:pPr>
        <w:pStyle w:val="Heading3"/>
      </w:pPr>
      <w:r>
        <w:rPr>
          <w:rFonts w:ascii="宋体" w:hAnsi="宋体" w:eastAsia="宋体"/>
        </w:rPr>
        <w:t>5.1 独立权利要求建议覆盖的主链</w:t>
      </w:r>
    </w:p>
    <w:p>
      <w:pPr>
        <w:spacing w:after="120" w:line="276" w:lineRule="auto"/>
      </w:pPr>
      <w:r>
        <w:rPr>
          <w:rFonts w:ascii="宋体" w:hAnsi="宋体" w:eastAsia="宋体"/>
          <w:sz w:val="21"/>
        </w:rPr>
        <w:t>（1）一种多协议工业设备数据的统一采集与实时监控方法，其核心步骤包括：根据协议类型选择相应读取或推送适配方式；把协议结果转换为共享点标识体系下的统一点状态记录；维护最新点状态；订阅建立时发送全量快照并建立比较基线；其后根据当前点状态与基线形成差分集合；浏览器将差分分别写入按点覆盖的当前状态缓冲和保序趋势缓冲；按用户刷新周期批量更新页面状态，并把趋势记录批次增量写入浏览器侧列式流式表进行展示。</w:t>
      </w:r>
    </w:p>
    <w:p>
      <w:pPr>
        <w:spacing w:after="120" w:line="276" w:lineRule="auto"/>
      </w:pPr>
      <w:r>
        <w:rPr>
          <w:rFonts w:ascii="宋体" w:hAnsi="宋体" w:eastAsia="宋体"/>
          <w:sz w:val="21"/>
        </w:rPr>
        <w:t>（2）上述各步骤不是孤立功能的并列，而是以同一设备标识、点组、点标识、时间戳和质量码贯穿的连续数据处理关系。建议在独立权利要求中保留“全量快照建立基线—后续差分—双缓冲不同保留语义—列式表增量更新”这一组合，以区别仅具有多协议接入或普通 WEB 展示的现有技术。</w:t>
      </w:r>
    </w:p>
    <w:p>
      <w:pPr>
        <w:pStyle w:val="Heading3"/>
      </w:pPr>
      <w:r>
        <w:rPr>
          <w:rFonts w:ascii="宋体" w:hAnsi="宋体" w:eastAsia="宋体"/>
        </w:rPr>
        <w:t>5.2 从属权利要求建议保护的特征</w:t>
      </w:r>
    </w:p>
    <w:p>
      <w:pPr>
        <w:spacing w:after="120" w:line="276" w:lineRule="auto"/>
      </w:pPr>
      <w:r>
        <w:rPr>
          <w:rFonts w:ascii="宋体" w:hAnsi="宋体" w:eastAsia="宋体"/>
          <w:sz w:val="21"/>
        </w:rPr>
        <w:t>（1）协议差异化采集：对于连续地址协议合并读取块并保存块内偏移映射；对于节点型协议批量读取节点集合；对于传统组件型协议通过独立代理进程读取并推送；外部主动推送路径使用与轮询路径一致的点状态转换和质量码语义。</w:t>
      </w:r>
    </w:p>
    <w:p>
      <w:pPr>
        <w:spacing w:after="120" w:line="276" w:lineRule="auto"/>
      </w:pPr>
      <w:r>
        <w:rPr>
          <w:rFonts w:ascii="宋体" w:hAnsi="宋体" w:eastAsia="宋体"/>
          <w:sz w:val="21"/>
        </w:rPr>
        <w:t>（2）统一配置与任务：按设备和采样周期分组，任务中固化变量、读取块、结果映射、点组版本和设备代际号的不可变快照。</w:t>
      </w:r>
    </w:p>
    <w:p>
      <w:pPr>
        <w:spacing w:after="120" w:line="276" w:lineRule="auto"/>
      </w:pPr>
      <w:r>
        <w:rPr>
          <w:rFonts w:ascii="宋体" w:hAnsi="宋体" w:eastAsia="宋体"/>
          <w:sz w:val="21"/>
        </w:rPr>
        <w:t>（3）配置代际门控：在读取、解析或写入阶段校验任务代际，并在同一设备代际锁内完成最终校验和写入，拒绝旧代际结果。</w:t>
      </w:r>
    </w:p>
    <w:p>
      <w:pPr>
        <w:spacing w:after="120" w:line="276" w:lineRule="auto"/>
      </w:pPr>
      <w:r>
        <w:rPr>
          <w:rFonts w:ascii="宋体" w:hAnsi="宋体" w:eastAsia="宋体"/>
          <w:sz w:val="21"/>
        </w:rPr>
        <w:t>（4）多语义实时缓存及写入顺序：为同一统一点数据维护短窗口完整帧、分片持久化消息流和最新点状态；先写短窗口及消息流，成功后再写最新点状态。</w:t>
      </w:r>
    </w:p>
    <w:p>
      <w:pPr>
        <w:spacing w:after="120" w:line="276" w:lineRule="auto"/>
      </w:pPr>
      <w:r>
        <w:rPr>
          <w:rFonts w:ascii="宋体" w:hAnsi="宋体" w:eastAsia="宋体"/>
          <w:sz w:val="21"/>
        </w:rPr>
        <w:t>（5）快照与差分：首次订阅或重连发送全量快照；后续按值、时间戳和质量码组成的状态元组比较形成差分；离线事件仅在在线到离线跳变时发送一次。</w:t>
      </w:r>
    </w:p>
    <w:p>
      <w:pPr>
        <w:spacing w:after="120" w:line="276" w:lineRule="auto"/>
      </w:pPr>
      <w:r>
        <w:rPr>
          <w:rFonts w:ascii="宋体" w:hAnsi="宋体" w:eastAsia="宋体"/>
          <w:sz w:val="21"/>
        </w:rPr>
        <w:t>（6）浏览器双缓冲：同一刷新窗口内当前值和质量按点标识覆盖为末状态，趋势记录按到达顺序保留；达到刷新周期后再统一刷新页面并把趋势批次送入列式流式表。</w:t>
      </w:r>
    </w:p>
    <w:p>
      <w:pPr>
        <w:spacing w:after="120" w:line="276" w:lineRule="auto"/>
      </w:pPr>
      <w:r>
        <w:rPr>
          <w:rFonts w:ascii="宋体" w:hAnsi="宋体" w:eastAsia="宋体"/>
          <w:sz w:val="21"/>
        </w:rPr>
        <w:t>（7）列式增量分析：在浏览器独立工作线程中创建具有时间戳、点序号、点名称和值字段的列式流式表，后续只增量追加新记录，并按数值型点和布尔/状态型点拆分或合并视图。</w:t>
      </w:r>
    </w:p>
    <w:p>
      <w:pPr>
        <w:spacing w:after="120" w:line="276" w:lineRule="auto"/>
      </w:pPr>
      <w:r>
        <w:rPr>
          <w:rFonts w:ascii="宋体" w:hAnsi="宋体" w:eastAsia="宋体"/>
          <w:sz w:val="21"/>
        </w:rPr>
        <w:t>（8）有界执行：读取、解析和缓存写入执行器均设置最大待处理数，饱和时返回明确状态而非无限排队。</w:t>
      </w:r>
    </w:p>
    <w:p>
      <w:pPr>
        <w:spacing w:after="120" w:line="276" w:lineRule="auto"/>
      </w:pPr>
      <w:r>
        <w:rPr>
          <w:rFonts w:ascii="宋体" w:hAnsi="宋体" w:eastAsia="宋体"/>
          <w:sz w:val="21"/>
        </w:rPr>
        <w:t>（9）可靠持久化：消费组消息在成功落库后确认；坏数据在成功进入死信队列后确认；连接错误、未知错误和未完成隔离的记录不确认并继续保留；支持待处理消息重新认领和确认失败重试。</w:t>
      </w:r>
    </w:p>
    <w:p>
      <w:pPr>
        <w:spacing w:after="120" w:line="276" w:lineRule="auto"/>
      </w:pPr>
      <w:r>
        <w:rPr>
          <w:rFonts w:ascii="宋体" w:hAnsi="宋体" w:eastAsia="宋体"/>
          <w:sz w:val="21"/>
        </w:rPr>
        <w:t>（10）权利要求类型可包括方法、系统、电子设备、计算机可读存储介质及计算机程序产品；系统权利要求中的协议适配、统一点状态、快照差分、浏览器缓冲和列式增量处理模块应与方法步骤对应。</w:t>
      </w:r>
    </w:p>
    <w:p>
      <w:pPr>
        <w:pStyle w:val="Heading3"/>
      </w:pPr>
      <w:r>
        <w:rPr>
          <w:rFonts w:ascii="宋体" w:hAnsi="宋体" w:eastAsia="宋体"/>
        </w:rPr>
        <w:t>5.3 不宜单独作为核心保护点的内容</w:t>
      </w:r>
    </w:p>
    <w:p>
      <w:pPr>
        <w:spacing w:after="120" w:line="276" w:lineRule="auto"/>
      </w:pPr>
      <w:r>
        <w:rPr>
          <w:rFonts w:ascii="宋体" w:hAnsi="宋体" w:eastAsia="宋体"/>
          <w:sz w:val="21"/>
        </w:rPr>
        <w:t>（1）仅表述“支持多种工业协议”或“提供统一平台”，容易被现有多协议网关、MES 采集系统和物联网平台覆盖。</w:t>
      </w:r>
    </w:p>
    <w:p>
      <w:pPr>
        <w:spacing w:after="120" w:line="276" w:lineRule="auto"/>
      </w:pPr>
      <w:r>
        <w:rPr>
          <w:rFonts w:ascii="宋体" w:hAnsi="宋体" w:eastAsia="宋体"/>
          <w:sz w:val="21"/>
        </w:rPr>
        <w:t>（2）仅表述“通过 WebSocket 实时推送”属于通用通信手段，应与全量基线、状态差分及浏览器刷新窗口合并关系共同限定。</w:t>
      </w:r>
    </w:p>
    <w:p>
      <w:pPr>
        <w:spacing w:after="120" w:line="276" w:lineRule="auto"/>
      </w:pPr>
      <w:r>
        <w:rPr>
          <w:rFonts w:ascii="宋体" w:hAnsi="宋体" w:eastAsia="宋体"/>
          <w:sz w:val="21"/>
        </w:rPr>
        <w:t>（3）不应把具体第三方可视化组件名称、特定前端框架名称或某数据库品牌本身写成创新点；应保护其在本方案中的技术角色、数据结构、处理步骤及与上下游的约束关系。</w:t>
      </w:r>
    </w:p>
    <w:p>
      <w:pPr>
        <w:pStyle w:val="Heading2"/>
      </w:pPr>
      <w:r>
        <w:rPr>
          <w:rFonts w:ascii="黑体" w:hAnsi="黑体" w:eastAsia="黑体"/>
        </w:rPr>
        <w:t>六、其它</w:t>
      </w:r>
    </w:p>
    <w:p>
      <w:pPr>
        <w:pStyle w:val="Heading3"/>
      </w:pPr>
      <w:r>
        <w:rPr>
          <w:rFonts w:ascii="宋体" w:hAnsi="宋体" w:eastAsia="宋体"/>
        </w:rPr>
        <w:t>6.1 实施例一：中心采集协议与高频实时监控</w:t>
      </w:r>
    </w:p>
    <w:p>
      <w:pPr>
        <w:spacing w:after="120" w:line="276" w:lineRule="auto"/>
      </w:pPr>
      <w:r>
        <w:rPr>
          <w:rFonts w:ascii="宋体" w:hAnsi="宋体" w:eastAsia="宋体"/>
          <w:sz w:val="21"/>
        </w:rPr>
        <w:t>在一个通用制造场景中，平台同时接入寄存器型协议设备、节点型协议设备和基于专用组件的传统协议设备。管理员为每个点配置设备标识、点标识、点组、地址、数据类型、采样周期和是否持久化。平台按设备和采样周期生成任务，对寄存器型协议的连续地址进行读块合并，对节点型协议生成节点集合，对传统协议启动独立代理进程。</w:t>
      </w:r>
    </w:p>
    <w:p>
      <w:pPr>
        <w:spacing w:after="120" w:line="276" w:lineRule="auto"/>
      </w:pPr>
      <w:r>
        <w:rPr>
          <w:rFonts w:ascii="宋体" w:hAnsi="宋体" w:eastAsia="宋体"/>
          <w:sz w:val="21"/>
        </w:rPr>
        <w:t>采集结果统一转换为点状态记录，先写入最近 10 帧短窗口和分片持久化消息流，再写最新点状态。浏览器订阅设备点组时获得一次全量快照；服务端此后每 0.1 秒检测最新状态并推送差分。浏览器刷新周期 \(\tau_u\) 设为 1 秒，因此在一个刷新窗口内到达的多个差分先进入缓冲。当前值面板对同一点只应用窗口末状态，趋势记录则按到达顺序批量追加到列式流式表。上述参数仅为示例，不作为权利要求限制。</w:t>
      </w:r>
    </w:p>
    <w:p>
      <w:pPr>
        <w:pStyle w:val="Heading3"/>
      </w:pPr>
      <w:r>
        <w:rPr>
          <w:rFonts w:ascii="宋体" w:hAnsi="宋体" w:eastAsia="宋体"/>
        </w:rPr>
        <w:t>6.2 实施例二：边缘代理主动推送</w:t>
      </w:r>
    </w:p>
    <w:p>
      <w:pPr>
        <w:spacing w:after="120" w:line="276" w:lineRule="auto"/>
      </w:pPr>
      <w:r>
        <w:rPr>
          <w:rFonts w:ascii="宋体" w:hAnsi="宋体" w:eastAsia="宋体"/>
          <w:sz w:val="21"/>
        </w:rPr>
        <w:t>对于只能在特定位数运行环境中访问的传统协议设备，在边缘侧运行独立代理进程。代理进程读取设备点值后，将设备标识、点标识、值、原始时间戳和原始质量信息通过本地网络推送到中心接收接口。中心接收接口根据统一点配置校验设备和点标识，把原始质量信息映射为平台质量码，并为该点补充点组、采样周期、数据类型、是否持久化和配置版本。</w:t>
      </w:r>
    </w:p>
    <w:p>
      <w:pPr>
        <w:spacing w:after="120" w:line="276" w:lineRule="auto"/>
      </w:pPr>
      <w:r>
        <w:rPr>
          <w:rFonts w:ascii="宋体" w:hAnsi="宋体" w:eastAsia="宋体"/>
          <w:sz w:val="21"/>
        </w:rPr>
        <w:t>中心随后使用与轮询采集相同的代际校验、实时缓存写入顺序、快照差分和浏览器双缓冲链路。因此，外部推送并非形成另一套监控系统，而是作为多协议统一平台中的一种采集入口。</w:t>
      </w:r>
    </w:p>
    <w:p>
      <w:pPr>
        <w:pStyle w:val="Heading3"/>
      </w:pPr>
      <w:r>
        <w:rPr>
          <w:rFonts w:ascii="宋体" w:hAnsi="宋体" w:eastAsia="宋体"/>
        </w:rPr>
        <w:t>6.3 实施例三：配置热更新期间的数据隔离</w:t>
      </w:r>
    </w:p>
    <w:p>
      <w:pPr>
        <w:spacing w:after="120" w:line="276" w:lineRule="auto"/>
      </w:pPr>
      <w:r>
        <w:rPr>
          <w:rFonts w:ascii="宋体" w:hAnsi="宋体" w:eastAsia="宋体"/>
          <w:sz w:val="21"/>
        </w:rPr>
        <w:t>设备原配置对应代际号为第一代际。采集任务启动后，管理员修改了该设备点地址或采样周期，设备管理模块使代际号递增并基于新配置生成新任务。第一代际任务即使已完成设备读取，也会在解析或写入阶段因代际不匹配而被拒绝；新代际任务携带不可变的新配置快照并继续采集。由此避免旧地址数据在配置切换后覆盖新地址数据。</w:t>
      </w:r>
    </w:p>
    <w:p>
      <w:pPr>
        <w:pStyle w:val="Heading3"/>
      </w:pPr>
      <w:r>
        <w:rPr>
          <w:rFonts w:ascii="宋体" w:hAnsi="宋体" w:eastAsia="宋体"/>
        </w:rPr>
        <w:t>6.4 实施例四：历史写入局部失败</w:t>
      </w:r>
    </w:p>
    <w:p>
      <w:pPr>
        <w:spacing w:after="120" w:line="276" w:lineRule="auto"/>
      </w:pPr>
      <w:r>
        <w:rPr>
          <w:rFonts w:ascii="宋体" w:hAnsi="宋体" w:eastAsia="宋体"/>
          <w:sz w:val="21"/>
        </w:rPr>
        <w:t>历史写入进程批量消费多个设备点记录。若部分行成功、某一行因数据格式明确错误而失败、另一些行因数据库连接中断而失败，则成功行标记为已落库并确认；明确坏行经逐步缩小批次定位后写入死信队列，只有死信写入成功才确认；连接错误行保留为可重试状态，不确认也不进入死信队列。连接恢复后，进程重新认领超过空闲阈值的待处理消息并继续写入，不阻塞后续正常批次。</w:t>
      </w:r>
    </w:p>
    <w:p>
      <w:pPr>
        <w:pStyle w:val="Heading3"/>
      </w:pPr>
      <w:r>
        <w:rPr>
          <w:rFonts w:ascii="宋体" w:hAnsi="宋体" w:eastAsia="宋体"/>
        </w:rPr>
        <w:t>6.5 可验证的技术效果</w:t>
      </w:r>
    </w:p>
    <w:p>
      <w:pPr>
        <w:spacing w:after="120" w:line="276" w:lineRule="auto"/>
      </w:pPr>
      <w:r>
        <w:rPr>
          <w:rFonts w:ascii="宋体" w:hAnsi="宋体" w:eastAsia="宋体"/>
          <w:sz w:val="21"/>
        </w:rPr>
        <w:t>（1）协议侧：连续地址合并可把多个离散点读取转换为较少的块读取；统一点状态使外部推送和中心轮询共用后续处理链。</w:t>
      </w:r>
    </w:p>
    <w:p>
      <w:pPr>
        <w:spacing w:after="120" w:line="276" w:lineRule="auto"/>
      </w:pPr>
      <w:r>
        <w:rPr>
          <w:rFonts w:ascii="宋体" w:hAnsi="宋体" w:eastAsia="宋体"/>
          <w:sz w:val="21"/>
        </w:rPr>
        <w:t>（2）传输侧：新订阅以完整快照建立基线，持续阶段只发送相对基线变化的状态记录，离线持续期间不重复发送相同离线事件。</w:t>
      </w:r>
    </w:p>
    <w:p>
      <w:pPr>
        <w:spacing w:after="120" w:line="276" w:lineRule="auto"/>
      </w:pPr>
      <w:r>
        <w:rPr>
          <w:rFonts w:ascii="宋体" w:hAnsi="宋体" w:eastAsia="宋体"/>
          <w:sz w:val="21"/>
        </w:rPr>
        <w:t>（3）浏览器侧：当前值写入次数由“每条差分一次”降低为“每个刷新窗口内每个发生变化的点至多一次”；趋势记录仍按批次增量进入列式表，不因当前值覆盖而丢弃。</w:t>
      </w:r>
    </w:p>
    <w:p>
      <w:pPr>
        <w:spacing w:after="120" w:line="276" w:lineRule="auto"/>
      </w:pPr>
      <w:r>
        <w:rPr>
          <w:rFonts w:ascii="宋体" w:hAnsi="宋体" w:eastAsia="宋体"/>
          <w:sz w:val="21"/>
        </w:rPr>
        <w:t>（4）一致性侧：旧代际任务无法在新配置生效后写入；前置实时缓存失败时最新状态不前移；历史消息只有在落库或成功隔离后才确认。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