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</w:r>
    </w:p>
    <w:p>
      <w:pPr>
        <w:pStyle w:val="Normal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ПРАКТИЧЕСКАЯ РАБОТА №2</w:t>
      </w:r>
    </w:p>
    <w:p>
      <w:pPr>
        <w:pStyle w:val="Normal"/>
        <w:spacing w:before="0" w:after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 дисциплине «Сети и телекоммуникации»</w:t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Normal"/>
        <w:spacing w:before="0" w:after="0"/>
        <w:rPr>
          <w:rFonts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tbl>
      <w:tblPr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103"/>
        <w:gridCol w:w="4241"/>
      </w:tblGrid>
      <w:tr>
        <w:trPr/>
        <w:tc>
          <w:tcPr>
            <w:tcW w:w="5103" w:type="dxa"/>
            <w:tcBorders/>
          </w:tcPr>
          <w:p>
            <w:pPr>
              <w:pStyle w:val="Normal"/>
              <w:widowControl w:val="false"/>
              <w:spacing w:before="0" w:after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Выполнила</w:t>
            </w:r>
          </w:p>
          <w:p>
            <w:pPr>
              <w:pStyle w:val="Normal"/>
              <w:widowControl w:val="false"/>
              <w:spacing w:before="0" w:after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студент гр. 5130904/10101</w:t>
            </w:r>
          </w:p>
        </w:tc>
        <w:tc>
          <w:tcPr>
            <w:tcW w:w="4241" w:type="dxa"/>
            <w:tcBorders/>
          </w:tcPr>
          <w:p>
            <w:pPr>
              <w:pStyle w:val="Normal"/>
              <w:widowControl w:val="false"/>
              <w:spacing w:before="0" w:after="0"/>
              <w:ind w:left="1594" w:hanging="0"/>
              <w:jc w:val="righ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Абраамян А.М.</w:t>
            </w:r>
          </w:p>
        </w:tc>
      </w:tr>
      <w:tr>
        <w:trPr/>
        <w:tc>
          <w:tcPr>
            <w:tcW w:w="5103" w:type="dxa"/>
            <w:tcBorders/>
          </w:tcPr>
          <w:p>
            <w:pPr>
              <w:pStyle w:val="Normal"/>
              <w:widowControl w:val="false"/>
              <w:spacing w:before="0" w:after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before="0" w:after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Проверил</w:t>
            </w:r>
          </w:p>
          <w:p>
            <w:pPr>
              <w:pStyle w:val="Normal"/>
              <w:widowControl w:val="false"/>
              <w:spacing w:before="0" w:after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</w:r>
          </w:p>
        </w:tc>
        <w:tc>
          <w:tcPr>
            <w:tcW w:w="4241" w:type="dxa"/>
            <w:tcBorders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before="0" w:after="0"/>
              <w:jc w:val="righ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Медведев Б. М.</w:t>
            </w:r>
          </w:p>
        </w:tc>
      </w:tr>
    </w:tbl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Style23"/>
        <w:rPr>
          <w:rFonts w:ascii="Times New Roman" w:hAnsi="Times New Roman" w:eastAsia="Calibri" w:cs="Times New Roman" w:eastAsiaTheme="minorHAnsi"/>
          <w:color w:val="auto"/>
          <w:sz w:val="24"/>
          <w:szCs w:val="22"/>
          <w:lang w:eastAsia="en-US"/>
        </w:rPr>
      </w:pPr>
      <w:r>
        <w:rPr>
          <w:rFonts w:eastAsia="Calibri" w:cs="Times New Roman" w:eastAsiaTheme="minorHAnsi" w:ascii="Times New Roman" w:hAnsi="Times New Roman"/>
          <w:color w:val="auto"/>
          <w:sz w:val="24"/>
          <w:szCs w:val="22"/>
          <w:lang w:eastAsia="en-US"/>
        </w:rPr>
      </w:r>
    </w:p>
    <w:p>
      <w:pPr>
        <w:pStyle w:val="Normal"/>
        <w:rPr>
          <w:rFonts w:cs="Times New Roman"/>
        </w:rPr>
      </w:pPr>
      <w:r>
        <w:rPr>
          <w:rFonts w:cs="Times New Roman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3"/>
            <w:rPr>
              <w:rStyle w:val="12"/>
              <w:color w:val="auto"/>
            </w:rPr>
          </w:pPr>
          <w:r>
            <w:br w:type="page"/>
          </w:r>
          <w:r>
            <w:rPr>
              <w:rStyle w:val="12"/>
              <w:color w:val="auto"/>
            </w:rPr>
            <w:t>Содержание</w:t>
          </w:r>
        </w:p>
        <w:p>
          <w:pPr>
            <w:pStyle w:val="24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vanish w:val="false"/>
              <w:rFonts w:eastAsia="SimSun" w:cs="Times New Roman"/>
              <w:lang w:eastAsia="zh-CN"/>
            </w:rPr>
            <w:instrText xml:space="preserve"> TOC \z \o "1-3" \u \h</w:instrText>
          </w:r>
          <w:r>
            <w:rPr>
              <w:webHidden/>
              <w:vanish w:val="false"/>
              <w:rFonts w:eastAsia="SimSun" w:cs="Times New Roman"/>
              <w:lang w:eastAsia="zh-CN"/>
            </w:rPr>
            <w:fldChar w:fldCharType="separate"/>
          </w:r>
          <w:hyperlink w:anchor="_Toc115823806">
            <w:r>
              <w:rPr>
                <w:webHidden/>
                <w:rFonts w:eastAsia="SimSun" w:cs="Times New Roman"/>
                <w:vanish w:val="false"/>
                <w:lang w:eastAsia="zh-CN"/>
              </w:rPr>
              <w:t>Цель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_Toc115823806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15823807">
            <w:r>
              <w:rPr>
                <w:webHidden/>
                <w:rFonts w:cs="Times New Roman"/>
                <w:vanish w:val="false"/>
              </w:rPr>
              <w:t>Порядок выполнения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_Toc115823807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15823808">
            <w:r>
              <w:rPr>
                <w:webHidden/>
                <w:rFonts w:cs="Times New Roman"/>
                <w:vanish w:val="false"/>
              </w:rPr>
              <w:t>Результаты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_Toc115823808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4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15823809">
            <w:r>
              <w:rPr>
                <w:webHidden/>
                <w:rFonts w:cs="Times New Roman"/>
                <w:vanish w:val="false"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_Toc115823809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cs="Times New Roman"/>
            </w:rPr>
          </w:pPr>
          <w:r>
            <w:rPr>
              <w:rFonts w:cs="Times New Roman"/>
            </w:rPr>
          </w:r>
          <w:r>
            <w:rPr>
              <w:rFonts w:cs="Times New Roman"/>
            </w:rPr>
            <w:fldChar w:fldCharType="end"/>
          </w:r>
        </w:p>
      </w:sdtContent>
    </w:sdt>
    <w:p>
      <w:pPr>
        <w:pStyle w:val="Normal"/>
        <w:rPr>
          <w:rFonts w:cs="Times New Roman"/>
          <w:szCs w:val="24"/>
        </w:rPr>
      </w:pPr>
      <w:r>
        <w:rPr>
          <w:rFonts w:cs="Times New Roman"/>
          <w:szCs w:val="24"/>
        </w:rPr>
      </w:r>
      <w:r>
        <w:br w:type="page"/>
      </w:r>
    </w:p>
    <w:p>
      <w:pPr>
        <w:pStyle w:val="23"/>
        <w:rPr>
          <w:rFonts w:eastAsia="SimSun" w:cs="Times New Roman"/>
          <w:lang w:eastAsia="zh-CN"/>
        </w:rPr>
      </w:pPr>
      <w:bookmarkStart w:id="0" w:name="_Toc114408450"/>
      <w:bookmarkStart w:id="1" w:name="_Toc115823806"/>
      <w:r>
        <w:rPr>
          <w:rFonts w:eastAsia="SimSun" w:cs="Times New Roman"/>
          <w:lang w:eastAsia="zh-CN"/>
        </w:rPr>
        <w:t>Цель работы</w:t>
      </w:r>
      <w:bookmarkEnd w:id="0"/>
      <w:bookmarkEnd w:id="1"/>
    </w:p>
    <w:p>
      <w:pPr>
        <w:pStyle w:val="Normal"/>
        <w:widowControl w:val="false"/>
        <w:spacing w:lineRule="auto" w:line="240" w:before="0" w:after="0"/>
        <w:jc w:val="both"/>
        <w:rPr>
          <w:rFonts w:eastAsia="Times New Roman" w:cs="Times New Roman"/>
          <w:sz w:val="28"/>
          <w:szCs w:val="24"/>
          <w:lang w:eastAsia="zh-CN"/>
        </w:rPr>
      </w:pPr>
      <w:r>
        <w:rPr>
          <w:rFonts w:eastAsia="Times New Roman" w:cs="Times New Roman"/>
          <w:sz w:val="28"/>
          <w:szCs w:val="24"/>
          <w:lang w:eastAsia="zh-CN"/>
        </w:rPr>
        <w:t>Изучить способы передачи двоичных символов по каналам связи с использованием амплитудной (АМ), частотной (ЧМ) и относительной фазовой (ФМ) модуляции, разработать функциональные схемы передатчика и приемника, рассчитать вероятность ошибки приема АМ, ЧМ и ФМ сигналов.</w:t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23"/>
        <w:rPr>
          <w:rFonts w:cs="Times New Roman"/>
        </w:rPr>
      </w:pPr>
      <w:bookmarkStart w:id="2" w:name="_Toc115823807"/>
      <w:r>
        <w:rPr>
          <w:rFonts w:cs="Times New Roman"/>
        </w:rPr>
        <w:t>Порядок выполнения работы</w:t>
      </w:r>
      <w:bookmarkEnd w:id="2"/>
    </w:p>
    <w:p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Разработать функциональную схему передатчика ОФМ сигналов.</w:t>
      </w:r>
    </w:p>
    <w:p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Изобразить временные диаграммы работы передатчика ОФМ сигналов, содержащие случайную последовательность двоичных символов на входе передатчика и форму сигнала на выходе передатчика при скорости передачи 1200 бит/с и частоте, несущей 1800 Гц.</w:t>
      </w:r>
    </w:p>
    <w:p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Разработать функциональную схему приемника, реализующего алгоритм когерентного приема.</w:t>
      </w:r>
    </w:p>
    <w:p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Изобразить временные диаграммы работы приемника ОФМ сигналов, содержащие входной сигнал, соответствующий сигналу на выходе передатчика, необходимые промежуточные результаты обработки сигнала и решения о принятых символах на выходе приемника.</w:t>
      </w:r>
    </w:p>
    <w:p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Рассчитать вероятность ошибки приема АМ, ЧМ и ФМ сигналов. Построить графики зависимостей вероятности ошибки от отношения сигнал/шум в логарифмическом масштабе для вероятности ошибки. Определить выигрыш в помехоустойчивости ФМ сигналов по сравнению с АМ и ЧМ для диапазона вероятности ошибки </w:t>
      </w:r>
      <w:r>
        <w:rPr>
          <w:sz w:val="28"/>
          <w:szCs w:val="24"/>
        </w:rPr>
        <w:t>и 10</w:t>
      </w:r>
      <w:r>
        <w:rPr>
          <w:sz w:val="28"/>
          <w:szCs w:val="24"/>
          <w:vertAlign w:val="superscript"/>
        </w:rPr>
        <w:t>-4</w:t>
      </w:r>
      <w:r>
        <w:rPr>
          <w:sz w:val="28"/>
          <w:szCs w:val="24"/>
        </w:rPr>
        <w:t>–10</w:t>
      </w:r>
      <w:r>
        <w:rPr>
          <w:sz w:val="28"/>
          <w:szCs w:val="24"/>
          <w:vertAlign w:val="superscript"/>
        </w:rPr>
        <w:t>-6</w:t>
      </w:r>
      <w:r>
        <w:br w:type="page"/>
      </w:r>
    </w:p>
    <w:p>
      <w:pPr>
        <w:pStyle w:val="23"/>
        <w:rPr>
          <w:rFonts w:cs="Times New Roman"/>
        </w:rPr>
      </w:pPr>
      <w:bookmarkStart w:id="3" w:name="_Toc115823808"/>
      <w:r>
        <w:rPr>
          <w:rFonts w:cs="Times New Roman"/>
        </w:rPr>
        <w:t>Результаты работы</w:t>
      </w:r>
      <w:bookmarkEnd w:id="3"/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Функциональная схема передатчика ОФМ сигналов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6120130" cy="2972435"/>
            <wp:effectExtent l="0" t="0" r="0" b="0"/>
            <wp:docPr id="1" name="Рисунок 9" descr="Изображение выглядит как диаграмма, План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Изображение выглядит как диаграмма, План, Технический чертеж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bookmarkStart w:id="4" w:name="_Hlk115035319"/>
      <w:r>
        <w:rPr>
          <w:sz w:val="28"/>
          <w:szCs w:val="28"/>
        </w:rPr>
        <w:t>Временные диаграммы работы передатчика ОФМ сигналов, содержащие случайную последовательность двоичных с  имволов на входе передатчика и форму сигнала на выходе передатчика при скорости передачи 1200 бит/с и частоте, несущей 1800 Гц</w:t>
      </w:r>
      <w:bookmarkEnd w:id="4"/>
    </w:p>
    <w:p>
      <w:pPr>
        <w:pStyle w:val="Normal"/>
        <w:rPr>
          <w:lang w:val="en-US"/>
        </w:rPr>
      </w:pPr>
      <w:r>
        <w:rPr>
          <w:lang w:val="en-US"/>
        </w:rPr>
        <w:drawing>
          <wp:inline distT="0" distB="0" distL="0" distR="0">
            <wp:extent cx="4432300" cy="179133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bookmarkStart w:id="5" w:name="_Hlk115035358"/>
      <w:r>
        <w:rPr>
          <w:sz w:val="28"/>
          <w:szCs w:val="28"/>
        </w:rPr>
        <w:t>Функциональная схема приемника, реализующего алгоритм когерентного приема.</w:t>
      </w:r>
    </w:p>
    <w:p>
      <w:pPr>
        <w:pStyle w:val="Normal"/>
        <w:spacing w:lineRule="auto" w:line="240"/>
        <w:jc w:val="both"/>
        <w:rPr>
          <w:sz w:val="28"/>
          <w:szCs w:val="24"/>
        </w:rPr>
      </w:pPr>
      <w:r>
        <w:rPr>
          <w:sz w:val="28"/>
          <w:szCs w:val="24"/>
        </w:rPr>
        <w:t>Оптимальным алгоритмом приема, обеспечивающим минимум вероятности ошибки, является алгоритм когерентного приема:</w:t>
      </w:r>
    </w:p>
    <w:p>
      <w:pPr>
        <w:pStyle w:val="Normal"/>
        <w:spacing w:lineRule="auto" w:line="240"/>
        <w:jc w:val="center"/>
        <w:rPr>
          <w:sz w:val="28"/>
          <w:szCs w:val="24"/>
        </w:rPr>
      </w:pPr>
      <w:r>
        <w:rPr/>
        <w:drawing>
          <wp:inline distT="0" distB="0" distL="0" distR="0">
            <wp:extent cx="3216275" cy="413385"/>
            <wp:effectExtent l="0" t="0" r="0" b="0"/>
            <wp:docPr id="3" name="Рисунок 5" descr="Изображение выглядит как Шрифт, типография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Изображение выглядит как Шрифт, типография, текст, калли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Ожидаемые формы сигнала </w:t>
      </w:r>
      <w:r>
        <w:rPr/>
        <w:drawing>
          <wp:inline distT="0" distB="0" distL="0" distR="0">
            <wp:extent cx="1004570" cy="233680"/>
            <wp:effectExtent l="0" t="0" r="0" b="0"/>
            <wp:docPr id="4" name="Рисунок 6" descr="Изображение выглядит как Шрифт, символ, белый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Изображение выглядит как Шрифт, символ, белый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>в соответствии с формулой:</w:t>
      </w:r>
    </w:p>
    <w:p>
      <w:pPr>
        <w:pStyle w:val="Normal"/>
        <w:spacing w:lineRule="auto" w:line="240"/>
        <w:jc w:val="center"/>
        <w:rPr>
          <w:sz w:val="28"/>
          <w:szCs w:val="24"/>
        </w:rPr>
      </w:pPr>
      <w:r>
        <w:rPr/>
        <w:drawing>
          <wp:inline distT="0" distB="0" distL="0" distR="0">
            <wp:extent cx="3089275" cy="23749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Алгоритм вычисляет корреляционные функции и выявляет похожесть входного сигнала на ожидаемый образец (2 синусоиды с разными фазами). Так как </w:t>
      </w:r>
      <w:r>
        <w:rPr/>
        <w:drawing>
          <wp:inline distT="0" distB="0" distL="0" distR="0">
            <wp:extent cx="1004570" cy="233680"/>
            <wp:effectExtent l="0" t="0" r="0" b="0"/>
            <wp:docPr id="6" name="Рисунок 1" descr="Изображение выглядит как Шрифт, символ, белый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Изображение выглядит как Шрифт, символ, белый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, то можно не вычитать одинаковую константу </w:t>
      </w:r>
      <w:r>
        <w:rPr/>
        <w:drawing>
          <wp:inline distT="0" distB="0" distL="0" distR="0">
            <wp:extent cx="1049020" cy="311150"/>
            <wp:effectExtent l="0" t="0" r="0" b="0"/>
            <wp:docPr id="7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 при сравнении двух величин и определении максимума, тогда остается только 2 интеграла  </w:t>
      </w:r>
      <w:r>
        <w:rPr/>
        <w:drawing>
          <wp:inline distT="0" distB="0" distL="0" distR="0">
            <wp:extent cx="1214120" cy="264795"/>
            <wp:effectExtent l="0" t="0" r="0" b="0"/>
            <wp:docPr id="8" name="Рисунок 3" descr="Изображение выглядит как Шрифт, рукописный текст, каллиграфия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 descr="Изображение выглядит как Шрифт, рукописный текст, каллиграфия, типо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, которые нужно сравнить с помощью </w:t>
      </w:r>
      <w:r>
        <w:rPr>
          <w:sz w:val="28"/>
          <w:szCs w:val="24"/>
          <w:lang w:val="en-US"/>
        </w:rPr>
        <w:t>max</w:t>
      </w:r>
      <w:r>
        <w:rPr>
          <w:sz w:val="28"/>
          <w:szCs w:val="24"/>
        </w:rPr>
        <w:t xml:space="preserve"> и получить решение о фазе сигнала. Так как в передатчике при изменении фазы передавали 0, без изменения фазы – 1, то с помощью элемента памяти нужно сравнить значение с текущим с помощью </w:t>
      </w:r>
      <w:r>
        <w:rPr>
          <w:sz w:val="28"/>
          <w:szCs w:val="24"/>
          <w:lang w:val="en-US"/>
        </w:rPr>
        <w:t>XOR</w:t>
      </w:r>
      <w:r>
        <w:rPr>
          <w:sz w:val="28"/>
          <w:szCs w:val="24"/>
        </w:rPr>
        <w:t xml:space="preserve"> – таким образом получим декодер относительности. После этого необходимо инвертировать полученный сигнал, чтобы получить исходную переданную последовательность битов.</w:t>
      </w:r>
    </w:p>
    <w:p>
      <w:pPr>
        <w:pStyle w:val="Normal"/>
        <w:spacing w:lineRule="auto" w:line="24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Получаем для </w:t>
      </w:r>
      <w:r>
        <w:rPr>
          <w:sz w:val="28"/>
          <w:szCs w:val="24"/>
          <w:lang w:val="en-US"/>
        </w:rPr>
        <w:t>i</w:t>
      </w:r>
      <w:r>
        <w:rPr>
          <w:sz w:val="28"/>
          <w:szCs w:val="24"/>
        </w:rPr>
        <w:t>=2:</w:t>
      </w:r>
    </w:p>
    <w:p>
      <w:pPr>
        <w:pStyle w:val="Normal"/>
        <w:spacing w:lineRule="auto" w:line="240"/>
        <w:jc w:val="center"/>
        <w:rPr>
          <w:sz w:val="28"/>
          <w:szCs w:val="24"/>
        </w:rPr>
      </w:pPr>
      <w:r>
        <w:rPr/>
        <w:drawing>
          <wp:inline distT="0" distB="0" distL="0" distR="0">
            <wp:extent cx="1765300" cy="412750"/>
            <wp:effectExtent l="0" t="0" r="0" b="0"/>
            <wp:docPr id="9" name="Изображение2" descr="Изображение выглядит как Шрифт, типография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Изображение выглядит как Шрифт, типография, текст, калли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505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960" cy="403225"/>
            <wp:effectExtent l="0" t="0" r="0" b="0"/>
            <wp:docPr id="10" name="Изображение3" descr="Изображение выглядит как Шрифт, типография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Изображение выглядит как Шрифт, типография, текст, калли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8094" t="2198" r="0" b="-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Normal"/>
        <w:spacing w:before="0" w:after="0"/>
        <w:jc w:val="center"/>
        <w:rPr>
          <w:rFonts w:cs="Times New Roman"/>
          <w:szCs w:val="24"/>
          <w:lang w:val="en-US"/>
        </w:rPr>
      </w:pPr>
      <w:r>
        <w:rPr/>
        <w:drawing>
          <wp:inline distT="0" distB="0" distL="0" distR="0">
            <wp:extent cx="6120130" cy="2699385"/>
            <wp:effectExtent l="0" t="0" r="0" b="0"/>
            <wp:docPr id="11" name="Рисунок 12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Изображение выглядит как диаграмма, План, Технический чертеж, схематич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Временные диаграммы работы приемника ОФМ сигналов, содержащие входной сигнал, соответствующий сигналу на выходе передатчика, необходимые промежуточные результаты обработки сигнала и решения о принятых символах на выходе приемника.</w:t>
      </w:r>
    </w:p>
    <w:p>
      <w:pPr>
        <w:pStyle w:val="ListParagraph"/>
        <w:rPr/>
      </w:pPr>
      <w:r>
        <w:rPr/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721225" cy="7996555"/>
            <wp:effectExtent l="0" t="0" r="0" b="0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79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Вероятность ошибки приема АМ, ЧМ и ФМ сигналов</w:t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Графики зависимостей вероятности ошибки от отношения сигнал/шум в логарифмическом масштабе для вероятности ошибки</w:t>
      </w:r>
    </w:p>
    <w:p>
      <w:pPr>
        <w:pStyle w:val="ListParagraph"/>
        <w:spacing w:before="0" w:after="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ind w:left="360" w:hanging="0"/>
        <w:jc w:val="center"/>
        <w:rPr>
          <w:rFonts w:cs="Times New Roman"/>
          <w:szCs w:val="24"/>
          <w:lang w:val="en-US"/>
        </w:rPr>
      </w:pPr>
      <w:r>
        <w:rPr/>
        <mc:AlternateContent>
          <mc:Choice Requires="wps">
            <w:drawing>
              <wp:anchor behindDoc="0" distT="6350" distB="6350" distL="635" distR="0" simplePos="0" locked="0" layoutInCell="0" allowOverlap="1" relativeHeight="16" wp14:anchorId="7EA0464E">
                <wp:simplePos x="0" y="0"/>
                <wp:positionH relativeFrom="column">
                  <wp:posOffset>1367790</wp:posOffset>
                </wp:positionH>
                <wp:positionV relativeFrom="paragraph">
                  <wp:posOffset>2463165</wp:posOffset>
                </wp:positionV>
                <wp:extent cx="3534410" cy="635"/>
                <wp:effectExtent l="635" t="6350" r="0" b="6350"/>
                <wp:wrapNone/>
                <wp:docPr id="13" name="Прямая соединительная 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480" cy="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ed7d3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7.7pt,193.95pt" to="385.95pt,193.95pt" ID="Прямая соединительная линия 7" stroked="t" o:allowincell="f" style="position:absolute" wp14:anchorId="7EA0464E">
                <v:stroke color="#ed7d31" weight="12600" dashstyle="longdash" joinstyle="miter" endcap="flat"/>
                <v:fill o:detectmouseclick="t" on="false"/>
                <w10:wrap type="none"/>
              </v:line>
            </w:pict>
          </mc:Fallback>
        </mc:AlternateContent>
        <w:drawing>
          <wp:inline distT="0" distB="0" distL="0" distR="0">
            <wp:extent cx="4295140" cy="3990340"/>
            <wp:effectExtent l="0" t="0" r="0" b="0"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Определение отношения сигнал/шум: средняя энергия сигнала, приходящаяся на передачу одного бита деленная на спектральную плотность мощности шума.</w:t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того, чтобы сравнить помехоустойчивость проведем пунктирную горизонтальную линию и сравним значения в точках пересечения с графиками для ФМ, ЧМ и АМ:</w:t>
        <w:br/>
        <w:t>для ФМ: 10</w:t>
        <w:br/>
        <w:t>для ЧМ: 20</w:t>
        <w:br/>
        <w:t>для АМ: 40</w:t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 как эти значения выбраны с оси с линейным масштабом, то для сравнения помехоустойчивости можем разделить полученные значения. Наибольшей потенциальной помехоустойчивостью обладают фазоманипулированные сигналы. Так как спектральная плотность шума в приведенном определении отношения сигнал/шум константа, то можем сделать вывод об изменении энергии. Фазоманипулированные сигналы обеспечивают выигрыш в энергии сигнала, в два раза по сравнению с частотно-манипулированным  сигналами и в четыре раза по сравнению с амплитудно-манипулирова н ными сигналами. </w:t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АМ:  </w:t>
      </w:r>
    </w:p>
    <w:p>
      <w:pPr>
        <w:pStyle w:val="Normal"/>
        <w:spacing w:before="0" w:after="0"/>
        <w:ind w:left="360" w:hanging="0"/>
        <w:jc w:val="center"/>
        <w:rPr>
          <w:rFonts w:cs="Times New Roman"/>
          <w:sz w:val="28"/>
          <w:szCs w:val="28"/>
        </w:rPr>
      </w:pPr>
      <w:r>
        <w:rPr/>
        <w:t xml:space="preserve"> </w:t>
      </w:r>
      <w:r>
        <w:rPr/>
        <w:drawing>
          <wp:inline distT="0" distB="0" distL="0" distR="0">
            <wp:extent cx="1378585" cy="551815"/>
            <wp:effectExtent l="0" t="0" r="0" b="0"/>
            <wp:docPr id="15" name="Рисунок 17" descr="Изображение выглядит как Шрифт, символ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Изображение выглядит как Шрифт, символ, белый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ЧМ:</w:t>
      </w:r>
    </w:p>
    <w:p>
      <w:pPr>
        <w:pStyle w:val="Normal"/>
        <w:spacing w:before="0" w:after="0"/>
        <w:ind w:left="360" w:hanging="0"/>
        <w:jc w:val="center"/>
        <w:rPr>
          <w:rFonts w:cs="Times New Roman"/>
          <w:sz w:val="28"/>
          <w:szCs w:val="28"/>
        </w:rPr>
      </w:pPr>
      <w:r>
        <w:rPr/>
        <w:drawing>
          <wp:inline distT="0" distB="0" distL="0" distR="0">
            <wp:extent cx="1474470" cy="548005"/>
            <wp:effectExtent l="0" t="0" r="0" b="0"/>
            <wp:docPr id="16" name="Рисунок 18" descr="Изображение выглядит как Шрифт, символ, белый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Изображение выглядит как Шрифт, символ, белый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2476500</wp:posOffset>
            </wp:positionH>
            <wp:positionV relativeFrom="paragraph">
              <wp:posOffset>219710</wp:posOffset>
            </wp:positionV>
            <wp:extent cx="1574165" cy="524510"/>
            <wp:effectExtent l="0" t="0" r="0" b="0"/>
            <wp:wrapSquare wrapText="bothSides"/>
            <wp:docPr id="17" name="Рисунок 22" descr="Изображение выглядит как Шрифт, символ, белый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2" descr="Изображение выглядит как Шрифт, символ, белый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 xml:space="preserve">для ФМ: </w:t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left="360" w:hanging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23"/>
        <w:rPr>
          <w:rFonts w:cs="Times New Roman"/>
        </w:rPr>
      </w:pPr>
      <w:bookmarkStart w:id="6" w:name="_Toc115823809"/>
      <w:r>
        <w:rPr>
          <w:rFonts w:cs="Times New Roman"/>
        </w:rPr>
        <w:t>Выводы</w:t>
      </w:r>
      <w:bookmarkEnd w:id="6"/>
    </w:p>
    <w:p>
      <w:pPr>
        <w:pStyle w:val="Normal"/>
        <w:spacing w:before="0" w:after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ходе исследования были анализированы методы передачи двоичных символов по каналам связи, включая амплитудную (АМ), частотную (ЧМ) и относительную фазовую (ФМ) модуляцию. Были разработаны функциональные схемы для передатчика и приемника ФМ, созданы временные диаграммы для этих схем, а также построены графики зависимости вероятности ошибки для сигналов АМ, ЧМ и ФМ от значения отношения сигнал/шум. Путем сравнения значений соотношения сигнал/шум при одинаковых вероятностях ошибки мы пришли к выводу, что ФМ имеет преимущество перед ЧМ и АМ, демонстрируя наименьшую вероятность ошибки.</w:t>
      </w:r>
    </w:p>
    <w:p>
      <w:pPr>
        <w:pStyle w:val="Normal"/>
        <w:spacing w:before="0"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Normal"/>
        <w:spacing w:before="0" w:after="0"/>
        <w:jc w:val="both"/>
        <w:rPr>
          <w:rFonts w:cs="Times New Roman"/>
          <w:szCs w:val="24"/>
        </w:rPr>
      </w:pPr>
      <w:r>
        <w:rPr/>
      </w:r>
    </w:p>
    <w:sectPr>
      <w:headerReference w:type="first" r:id="rId18"/>
      <w:footerReference w:type="default" r:id="rId19"/>
      <w:footerReference w:type="first" r:id="rId20"/>
      <w:type w:val="nextPage"/>
      <w:pgSz w:w="11906" w:h="16838"/>
      <w:pgMar w:left="1418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22921402"/>
    </w:sdtPr>
    <w:sdtContent>
      <w:p>
        <w:pPr>
          <w:pStyle w:val="Style26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  <w:p>
    <w:pPr>
      <w:pStyle w:val="Style26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jc w:val="center"/>
      <w:rPr>
        <w:rFonts w:cs="Times New Roman"/>
        <w:szCs w:val="24"/>
      </w:rPr>
    </w:pPr>
    <w:r>
      <w:rPr>
        <w:rFonts w:cs="Times New Roman"/>
        <w:szCs w:val="24"/>
      </w:rPr>
      <w:t>Санкт-Петербург</w:t>
    </w:r>
  </w:p>
  <w:p>
    <w:pPr>
      <w:pStyle w:val="Normal"/>
      <w:spacing w:before="0" w:after="0"/>
      <w:jc w:val="center"/>
      <w:rPr>
        <w:rFonts w:cs="Times New Roman"/>
        <w:szCs w:val="24"/>
      </w:rPr>
    </w:pPr>
    <w:r>
      <w:rPr>
        <w:rFonts w:cs="Times New Roman"/>
        <w:szCs w:val="24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jc w:val="center"/>
      <w:rPr>
        <w:rFonts w:cs="Times New Roman"/>
        <w:szCs w:val="24"/>
      </w:rPr>
    </w:pPr>
    <w:r>
      <w:rPr>
        <w:rFonts w:cs="Times New Roman"/>
        <w:szCs w:val="24"/>
      </w:rPr>
      <w:t>Министерство образования и науки РФ</w:t>
    </w:r>
  </w:p>
  <w:p>
    <w:pPr>
      <w:pStyle w:val="Normal"/>
      <w:spacing w:before="0" w:after="0"/>
      <w:jc w:val="center"/>
      <w:rPr>
        <w:rFonts w:cs="Times New Roman"/>
        <w:szCs w:val="24"/>
      </w:rPr>
    </w:pPr>
    <w:r>
      <w:rPr>
        <w:rFonts w:cs="Times New Roman"/>
        <w:szCs w:val="24"/>
      </w:rPr>
      <w:t>Санкт-Петербургский Политехнический университет Петра Великого</w:t>
    </w:r>
  </w:p>
  <w:p>
    <w:pPr>
      <w:pStyle w:val="Normal"/>
      <w:spacing w:before="0" w:after="0"/>
      <w:jc w:val="center"/>
      <w:rPr>
        <w:rFonts w:cs="Times New Roman"/>
        <w:szCs w:val="24"/>
      </w:rPr>
    </w:pPr>
    <w:r>
      <w:rPr>
        <w:rFonts w:cs="Times New Roman"/>
        <w:szCs w:val="24"/>
      </w:rPr>
      <w:t>Институт компьютерных наук и кибербезопасности</w:t>
    </w:r>
  </w:p>
  <w:p>
    <w:pPr>
      <w:pStyle w:val="Normal"/>
      <w:spacing w:before="0" w:after="0"/>
      <w:jc w:val="center"/>
      <w:rPr>
        <w:rFonts w:cs="Times New Roman"/>
        <w:szCs w:val="24"/>
      </w:rPr>
    </w:pPr>
    <w:r>
      <w:rPr>
        <w:rFonts w:cs="Times New Roman"/>
        <w:szCs w:val="24"/>
      </w:rPr>
      <w:t>Высшая школа программной инженерии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f0364"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4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e41ce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e41cee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e41ce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21" w:customStyle="1">
    <w:name w:val="Заголовок 2 Знак"/>
    <w:basedOn w:val="DefaultParagraphFont"/>
    <w:uiPriority w:val="9"/>
    <w:qFormat/>
    <w:rsid w:val="00e41ce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12" w:customStyle="1">
    <w:name w:val="Стиль1 Знак"/>
    <w:basedOn w:val="11"/>
    <w:link w:val="13"/>
    <w:qFormat/>
    <w:rsid w:val="00e41cee"/>
    <w:rPr>
      <w:rFonts w:ascii="Times New Roman" w:hAnsi="Times New Roman" w:eastAsia="" w:cs="Times New Roman" w:eastAsiaTheme="majorEastAsia"/>
      <w:b/>
      <w:bCs/>
      <w:color w:val="2F5496" w:themeColor="accent1" w:themeShade="bf"/>
      <w:sz w:val="32"/>
      <w:szCs w:val="24"/>
    </w:rPr>
  </w:style>
  <w:style w:type="character" w:styleId="22" w:customStyle="1">
    <w:name w:val="Стиль2 Знак"/>
    <w:basedOn w:val="21"/>
    <w:link w:val="23"/>
    <w:qFormat/>
    <w:rsid w:val="00e41cee"/>
    <w:rPr>
      <w:rFonts w:ascii="Times New Roman" w:hAnsi="Times New Roman" w:eastAsia="" w:cs="" w:cstheme="majorBidi" w:eastAsiaTheme="majorEastAsia"/>
      <w:b/>
      <w:color w:val="000000" w:themeColor="text1"/>
      <w:sz w:val="28"/>
      <w:szCs w:val="26"/>
    </w:rPr>
  </w:style>
  <w:style w:type="character" w:styleId="Style12">
    <w:name w:val="Интернет-ссылка"/>
    <w:basedOn w:val="DefaultParagraphFont"/>
    <w:uiPriority w:val="99"/>
    <w:unhideWhenUsed/>
    <w:rsid w:val="000a729c"/>
    <w:rPr>
      <w:color w:val="0563C1" w:themeColor="hyperlink"/>
      <w:u w:val="single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0a729c"/>
    <w:rPr>
      <w:rFonts w:ascii="Times New Roman" w:hAnsi="Times New Roman"/>
      <w:sz w:val="24"/>
    </w:rPr>
  </w:style>
  <w:style w:type="character" w:styleId="Style14" w:customStyle="1">
    <w:name w:val="Нижний колонтитул Знак"/>
    <w:basedOn w:val="DefaultParagraphFont"/>
    <w:uiPriority w:val="99"/>
    <w:qFormat/>
    <w:rsid w:val="000a729c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qFormat/>
    <w:rsid w:val="00a9781a"/>
    <w:rPr>
      <w:color w:val="808080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5b66c4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5" w:customStyle="1">
    <w:name w:val="Текст Знак"/>
    <w:basedOn w:val="DefaultParagraphFont"/>
    <w:link w:val="PlainText"/>
    <w:uiPriority w:val="99"/>
    <w:semiHidden/>
    <w:qFormat/>
    <w:rsid w:val="00567d61"/>
    <w:rPr>
      <w:rFonts w:ascii="Consolas" w:hAnsi="Consolas"/>
      <w:sz w:val="21"/>
      <w:szCs w:val="21"/>
    </w:rPr>
  </w:style>
  <w:style w:type="character" w:styleId="Style16">
    <w:name w:val="Ссылка указателя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3" w:customStyle="1">
    <w:name w:val="Стиль1"/>
    <w:basedOn w:val="1"/>
    <w:link w:val="12"/>
    <w:qFormat/>
    <w:rsid w:val="00e41cee"/>
    <w:pPr/>
    <w:rPr>
      <w:rFonts w:ascii="Times New Roman" w:hAnsi="Times New Roman" w:cs="Times New Roman"/>
      <w:b/>
      <w:bCs/>
      <w:color w:val="auto"/>
      <w:szCs w:val="24"/>
    </w:rPr>
  </w:style>
  <w:style w:type="paragraph" w:styleId="23" w:customStyle="1">
    <w:name w:val="Стиль2"/>
    <w:basedOn w:val="2"/>
    <w:link w:val="22"/>
    <w:qFormat/>
    <w:rsid w:val="00e41cee"/>
    <w:pPr>
      <w:jc w:val="both"/>
    </w:pPr>
    <w:rPr>
      <w:rFonts w:ascii="Times New Roman" w:hAnsi="Times New Roman"/>
      <w:b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fc5051"/>
    <w:pPr>
      <w:spacing w:before="0" w:after="160"/>
      <w:ind w:left="720" w:hanging="0"/>
      <w:contextualSpacing/>
    </w:pPr>
    <w:rPr/>
  </w:style>
  <w:style w:type="paragraph" w:styleId="Style22">
    <w:name w:val="Index Heading"/>
    <w:basedOn w:val="Style17"/>
    <w:pPr/>
    <w:rPr/>
  </w:style>
  <w:style w:type="paragraph" w:styleId="Style23">
    <w:name w:val="TOC Heading"/>
    <w:basedOn w:val="1"/>
    <w:next w:val="Normal"/>
    <w:uiPriority w:val="39"/>
    <w:unhideWhenUsed/>
    <w:qFormat/>
    <w:rsid w:val="000a729c"/>
    <w:pPr>
      <w:outlineLvl w:val="9"/>
    </w:pPr>
    <w:rPr>
      <w:lang w:eastAsia="ru-RU"/>
    </w:rPr>
  </w:style>
  <w:style w:type="paragraph" w:styleId="14">
    <w:name w:val="TOC 1"/>
    <w:basedOn w:val="Normal"/>
    <w:next w:val="Normal"/>
    <w:autoRedefine/>
    <w:uiPriority w:val="39"/>
    <w:unhideWhenUsed/>
    <w:rsid w:val="000a729c"/>
    <w:pPr>
      <w:spacing w:before="0" w:after="100"/>
    </w:pPr>
    <w:rPr/>
  </w:style>
  <w:style w:type="paragraph" w:styleId="24">
    <w:name w:val="TOC 2"/>
    <w:basedOn w:val="Normal"/>
    <w:next w:val="Normal"/>
    <w:autoRedefine/>
    <w:uiPriority w:val="39"/>
    <w:unhideWhenUsed/>
    <w:rsid w:val="000a729c"/>
    <w:pPr>
      <w:spacing w:before="0" w:after="100"/>
      <w:ind w:left="240" w:hanging="0"/>
    </w:pPr>
    <w:rPr/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13"/>
    <w:uiPriority w:val="99"/>
    <w:unhideWhenUsed/>
    <w:rsid w:val="000a729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Style14"/>
    <w:uiPriority w:val="99"/>
    <w:unhideWhenUsed/>
    <w:rsid w:val="000a729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5b66c4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Default" w:customStyle="1">
    <w:name w:val="Default"/>
    <w:qFormat/>
    <w:rsid w:val="00de5c54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PlainText">
    <w:name w:val="Plain Text"/>
    <w:basedOn w:val="Normal"/>
    <w:link w:val="Style15"/>
    <w:uiPriority w:val="99"/>
    <w:semiHidden/>
    <w:unhideWhenUsed/>
    <w:qFormat/>
    <w:rsid w:val="00567d61"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qFormat/>
    <w:rsid w:val="00af5e12"/>
    <w:pPr>
      <w:spacing w:lineRule="auto" w:line="240" w:beforeAutospacing="1" w:afterAutospacing="1"/>
    </w:pPr>
    <w:rPr>
      <w:rFonts w:eastAsia="Times New Roman" w:cs="Times New Roman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e41ce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-1">
    <w:name w:val="Grid Table 1 Light"/>
    <w:basedOn w:val="a1"/>
    <w:uiPriority w:val="46"/>
    <w:rsid w:val="00464f51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14">
    <w:name w:val="Сетка таблицы1"/>
    <w:basedOn w:val="a1"/>
    <w:uiPriority w:val="39"/>
    <w:rsid w:val="00e94b07"/>
    <w:pPr>
      <w:spacing w:after="0" w:line="240" w:lineRule="auto"/>
    </w:pPr>
    <w:rPr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3.png"/><Relationship Id="rId11" Type="http://schemas.openxmlformats.org/officeDocument/2006/relationships/image" Target="media/image3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EE285-972C-4965-B4FB-3411651FA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LibreOffice/7.3.7.2$Linux_X86_64 LibreOffice_project/30$Build-2</Application>
  <AppVersion>15.0000</AppVersion>
  <Pages>8</Pages>
  <Words>627</Words>
  <Characters>4185</Characters>
  <CharactersWithSpaces>4766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2023-10-02T16:51:00Z</dcterms:created>
  <dc:creator>Sonya Morgen</dc:creator>
  <dc:description/>
  <dc:language>ru-RU</dc:language>
  <cp:lastModifiedBy/>
  <cp:lastPrinted>2023-10-02T16:51:00Z</cp:lastPrinted>
  <dcterms:modified xsi:type="dcterms:W3CDTF">2024-10-04T16:46:13Z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