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</w:t>
            </w: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  <w:p>
            <w:pPr>
              <w:pStyle w:val="Normal1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2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7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 w:ascii="Calibri" w:hAnsi="Calibri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 w:ascii="Calibri" w:hAnsi="Calibri"/>
              <w:color w:val="000000"/>
            </w:rPr>
            <w:fldChar w:fldCharType="separate"/>
          </w:r>
          <w:hyperlink w:anchor="_heading=h.gjdgxs">
            <w:r>
              <w:rPr>
                <w:webHidden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Постановка задачи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qrqbywwlgo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Дискретная модель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1g1i9itkvm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Коэффициенты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fcb93xzy1h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Решение системы ОДУ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zcuwsg39jk2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Жёсткость системы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qferwl8vjnt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Тестирование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95xg3s13qs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Вывод</w:t>
              <w:tab/>
              <w:t>10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160"/>
            <w:ind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x9ef4etswmi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Код</w:t>
              <w:tab/>
              <w:t>10</w:t>
            </w:r>
          </w:hyperlink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heading=h.gjdgxs"/>
      <w:bookmarkEnd w:id="0"/>
      <w:r>
        <w:rPr/>
        <w:t>Постановка задачи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Normal1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>
            <m:r>
              <w:rPr>
                <w:rFonts w:ascii="Cambria Math" w:hAnsi="Cambria Math"/>
              </w:rPr>
              <m:t xml:space="preserve">|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27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tabs>
          <w:tab w:val="clear" w:pos="720"/>
          <w:tab w:val="left" w:pos="2496" w:leader="none"/>
        </w:tabs>
        <w:spacing w:lineRule="auto" w:line="276"/>
        <w:rPr/>
      </w:pPr>
      <w:bookmarkStart w:id="1" w:name="_heading=h.xtqrqbywwlgo"/>
      <w:bookmarkEnd w:id="1"/>
      <w:r>
        <w:rPr/>
        <w:t>Дискретная модель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Normal1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Normal1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right="757" w:hanging="0"/>
        <w:rPr/>
      </w:pPr>
      <w:bookmarkStart w:id="2" w:name="_heading=h.5i1g1i9itkvm"/>
      <w:bookmarkEnd w:id="2"/>
      <w:r>
        <w:rPr/>
        <w:t>Коэффициенты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>
          <w:i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1"/>
        <w:tabs>
          <w:tab w:val="clear" w:pos="720"/>
          <w:tab w:val="left" w:pos="2496" w:leader="none"/>
        </w:tabs>
        <w:ind w:right="757" w:hanging="0"/>
        <w:rPr/>
      </w:pPr>
      <w:bookmarkStart w:id="3" w:name="_heading=h.lyfcb93xzy1h"/>
      <w:bookmarkEnd w:id="3"/>
      <w:r>
        <w:rPr/>
        <w:t>Решение системы ОДУ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g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Неявный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1"/>
        <w:tabs>
          <w:tab w:val="clear" w:pos="720"/>
          <w:tab w:val="left" w:pos="2496" w:leader="none"/>
        </w:tabs>
        <w:ind w:right="757" w:hanging="0"/>
        <w:rPr/>
      </w:pPr>
      <w:bookmarkStart w:id="4" w:name="_heading=h.gzcuwsg39jk2"/>
      <w:bookmarkEnd w:id="4"/>
      <w:r>
        <w:rPr/>
        <w:t>Жёсткость системы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  <w:t xml:space="preserve">Это ограничение зависит от обусловленности матрицы, которое зависит от шага разбиение интервала по </w:t>
      </w:r>
      <w:r>
        <w:rPr>
          <w:i/>
        </w:rPr>
        <w:t xml:space="preserve">r. 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center"/>
        <w:rPr>
          <w:i/>
          <w:i/>
        </w:rPr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При превышении этого ограничения погрешность станет накапливаться с очень большой скоростью (решение неустойчиво).</w:t>
      </w:r>
    </w:p>
    <w:p>
      <w:pPr>
        <w:pStyle w:val="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5" w:name="_heading=h.nqferwl8vjnt"/>
      <w:bookmarkEnd w:id="5"/>
      <w:r>
        <w:rPr/>
        <w:t>Тестирование</w:t>
      </w:r>
    </w:p>
    <w:p>
      <w:pPr>
        <w:pStyle w:val="2"/>
        <w:jc w:val="left"/>
        <w:rPr/>
      </w:pPr>
      <w:r>
        <w:rPr/>
        <w:t>Пример 1</w:t>
      </w:r>
    </w:p>
    <w:p>
      <w:pPr>
        <w:pStyle w:val="Normal1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inline distT="0" distB="0" distL="0" distR="0">
            <wp:extent cx="5025390" cy="3117850"/>
            <wp:effectExtent l="0" t="0" r="0" b="0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Таблица погрешностей: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tbl>
      <w:tblPr>
        <w:tblW w:w="10421" w:type="dxa"/>
        <w:jc w:val="left"/>
        <w:tblInd w:w="-7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8"/>
        <w:gridCol w:w="1211"/>
        <w:gridCol w:w="1172"/>
        <w:gridCol w:w="1289"/>
        <w:gridCol w:w="1421"/>
        <w:gridCol w:w="2180"/>
        <w:gridCol w:w="2010"/>
      </w:tblGrid>
      <w:tr>
        <w:trPr>
          <w:trHeight w:val="395" w:hRule="atLeast"/>
        </w:trPr>
        <w:tc>
          <w:tcPr>
            <w:tcW w:w="2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разбиений</w:t>
            </w:r>
          </w:p>
        </w:tc>
        <w:tc>
          <w:tcPr>
            <w:tcW w:w="2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 шага</w:t>
            </w:r>
          </w:p>
        </w:tc>
        <w:tc>
          <w:tcPr>
            <w:tcW w:w="14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Явный метод</w:t>
            </w:r>
          </w:p>
        </w:tc>
        <w:tc>
          <w:tcPr>
            <w:tcW w:w="21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Неявный метод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Рунге Кутты 4</w:t>
            </w:r>
          </w:p>
        </w:tc>
      </w:tr>
      <w:tr>
        <w:trPr>
          <w:trHeight w:val="229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2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1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0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0.18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4.68941e-09</w:t>
            </w:r>
          </w:p>
        </w:tc>
      </w:tr>
      <w:tr>
        <w:trPr>
          <w:trHeight w:val="61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0.0891089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inf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0.000687675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6.82364e-09</w:t>
            </w:r>
          </w:p>
        </w:tc>
      </w:tr>
      <w:tr>
        <w:trPr>
          <w:trHeight w:val="46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0.0447761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0.004975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1.85778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0.00036922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3.72354e-09</w:t>
            </w:r>
          </w:p>
        </w:tc>
      </w:tr>
      <w:tr>
        <w:trPr>
          <w:trHeight w:val="95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0.0299003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0.003322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0.577381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0.000114426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1.14929e-09</w:t>
            </w:r>
          </w:p>
        </w:tc>
      </w:tr>
      <w:tr>
        <w:trPr>
          <w:trHeight w:val="8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0.0224439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0.002493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0.141115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2.81023e-05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2.81472e-10</w:t>
            </w:r>
          </w:p>
        </w:tc>
      </w:tr>
      <w:tr>
        <w:trPr>
          <w:trHeight w:val="7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0.0179641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0.001996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0.0302932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6.06209e-06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6.05029e-11</w:t>
            </w:r>
          </w:p>
        </w:tc>
      </w:tr>
      <w:tr>
        <w:trPr>
          <w:trHeight w:val="5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0.00899101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0.000999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6.05196e-06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1.21087e-09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1.20886e-14</w:t>
            </w:r>
          </w:p>
        </w:tc>
      </w:tr>
    </w:tbl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2"/>
        <w:tabs>
          <w:tab w:val="clear" w:pos="720"/>
          <w:tab w:val="left" w:pos="5325" w:leader="none"/>
        </w:tabs>
        <w:jc w:val="left"/>
        <w:rPr/>
      </w:pPr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>
          <w:b/>
          <w:b/>
        </w:rPr>
      </w:pPr>
      <w:r>
        <w:rPr>
          <w:b/>
        </w:rPr>
        <w:t>Наблюдения: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Во всех тестах решение явным методом при большом шаге интегрирования идёт с высокой погрешностью. Это связано с жесткостью системы и неустойчивости решения, которая чем больше, тем больше обусловленность матрицы A. Но при уменьшении шага, после прохождения ограничения погрешность уменьшается и достигает своего определённого предела, который зависит от точности аппроксимации уравнения, которая зависит от числа обусловленности матрицы A.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Во 2 тесте функция u не зависит от r, роль погрешности аппроксимации уменьшается, поэтому с уменьшением шага уменьшается и погрешность.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 xml:space="preserve">При решении неявным методом погрешность сразу невелика, поскольку он предназначен для решения жёстких систем, и не имеет ограничение на шаг интегрирования. Но при этом для его исполнения нужно находить обратную матрицу, что для больших размерностей матрицы A является очень трудоёмкой задачей. </w:t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6" w:name="_heading=h.n95xg3s13qs"/>
      <w:bookmarkEnd w:id="6"/>
      <w:r>
        <w:rPr/>
        <w:t>Вывод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Задание выполнено в полном объеме. Была сделана модель нестационарного одномерного распределения температуры. Модель была аппроксимирована с помощью интегро-интерполяционного метода и решена с помощью явного и неявного методов ломанных Эйлера. Была посчитана погрешность моделирования и выявлено, что для решения жёстких систем нужно использовать неявный метод, но нужно помнить, что при этом увеличивается трудоёмкость процесса.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7" w:name="_heading=h.jx9ef4etswmi"/>
      <w:bookmarkEnd w:id="7"/>
      <w:r>
        <w:rPr/>
        <w:t>Код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&lt;cmath&gt;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&lt;numbers&gt;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int N = 8;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Rl = std::numbers::pi;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Rr = 2 * std::numbers::pi;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T0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T1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X1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const double X2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H = (Rr - Rl) / N;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U_arr[N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V_arrTn[N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K_arr[N];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Q_arr[N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R_arr[N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Rd_arr[N];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H_arr[N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Hs_arr[N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A[N + 1][N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A_inv[N + 1][N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G[N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U(double r, 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r;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4 + pow(std::numbers::e, -10 *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r + 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K(double r)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cos(r) / 2 + 3;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Q(double r)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sin(r) / 2 + 2;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phi(double r)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r;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5;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r;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a(int index)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(Rd_arr[index - 1] * K_arr[index - 1]) / (H_arr[index] * Hs_arr[index] * R_arr[index]);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b(int index)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(Rd_arr[index] * K_arr[index]) / (H_arr[index] * Hs_arr[index] * R_arr[index]);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c(int index)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(index == 0)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-b(index) - X1 / Hs_arr[index] - Q_arr[index];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if (index == N)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-a(index) - X2 / Hs_arr[index] - Q_arr[index];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-a(index) - b(index) - Q_arr[index];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v1(double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0.5;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4 + pow(std::numbers::e, -10 *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std::numbers::pi + t - 2.5;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v2(double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5.5;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4 + pow(std::numbers::e, -10 *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std::numbers::pi + t + 3.5;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f(double r, 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(-cos(r)+ r * sin(r)-6+pow(r,2)*sin(r) + 4 * pow(r,2))/(2*r);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//return (-16 + 4 * pow(std::numbers::e, 10 * t) * sin(r) + sin(r) + 16 * pow(std::numbers::e, 10 * t)) / (2 * pow(std::numbers::e, 10 * t));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1 - (cos(r)-r*sin(r)+6)/(2*r) + (t*sin(r)+sin(r))/2 + 2*t + 2*r;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g(int index, 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(index == 0)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v1(t) / Hs_arr[index] + f(R_arr[index],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if (index == N)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v2(t) / Hs_arr[index] + f(R_arr[index],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f(R_arr[index],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fill_K()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K_arr[i] = K(Rl + H * i);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fill_Q()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Q_arr[i] = Q(Rl + H * i);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fill_R()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R_arr[i] = Rl + H * i;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fill_Rd()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Rd_arr[i] = (R_arr[i] + R_arr[i + 1]) / 2;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fill_H()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H_arr[i] = H;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fill_Hs()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Hs_arr[0] = H_arr[1] / 2;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Hs_arr[N] = H_arr[N] / 2;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1; i &lt; N;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Hs_arr[i] = (H_arr[i] + H_arr[i + 1]) / 2;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fill_A(double ht)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A[0][0] = c(0) * ht + 1;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A[0][1] = b(0)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1; i &lt; N;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 - 1] = a(i)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A[i][i] = c(i) * ht + 1;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 + 1] = b(i)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A[N][N - 1] = a(N)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A[N][N] = c(N) * ht + 1;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fill_A_Back(double ht)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A[0][0] = 1 - c(0)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A[0][1] = -b(0)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1; i &lt; N;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 - 1] = -a(i)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A[i][i] = 1 - c(i)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A[i][i + 1] = -b(i)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A[N][N - 1] = -a(N)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A[N][N] = 1 - c(N)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fill_G(double ht, 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G[i] = g(i, t) *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eps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sum_vectors(double f[], double s[], int size)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size;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f[i] = f[i] + s[i];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mul_matrix_vector(double matrix[N + 1][N + 1], double vector[], int size)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temp_vector[N+1];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size;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double sum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for (size_t j = 0; j &lt; size; j++)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 += matrix[i][j] * vector[j];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temp_vector[i] = sum;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size;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vector[i] = temp_vector[i];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getCofactor(double matrix[N + 1][N + 1], double temp[N + 1][N + 1], int p, int q, int n)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i = 0, j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row = 0; row &lt; n; row++)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for (int col = 0; col &lt; n; col++)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if (row != p &amp;&amp; col != q)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temp[i][j++] = matrix[row][col];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if (j == n - 1)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</w:rPr>
        <w:t>j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</w:rPr>
        <w:t>i++;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determinant(double matrix[N + 1][N + 1], int n)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det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(n == 1)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matrix[0][0];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temp[N + 1][N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sign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f = 0; f &lt; n; f++)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getCofactor(matrix, temp, 0, f, n);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det += sign * matrix[0][f] * determinant(temp, n - 1);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sign = -sign;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det;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getAdjugate(double matrix[N + 1][N + 1], double adj[N + 1][N + 1], int n)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(n == 1)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adj[0][0]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sign = 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temp[N + 1][N + 1];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n; i++)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for (int j = 0; j &lt; n; j++)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getCofactor(matrix, temp, i, j, n);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sign = ((i + j) % 2 == 0) ? 1 : -1;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adj[j][i] = sign * determinant(temp, n - 1); // Транспонированный адъюгат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bool inverse(double matrix[N + 1][N + 1], double inverseMatrix[N + 1][N + 1], int n)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det = determinant(matrix, n);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(det == 0)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"Обратная матрица не существует!" &lt;&lt; std::endl;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false;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adj[N + 1][N + 1]; // Адъюгат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getAdjugate(matrix, adj, n);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// Делим каждый элемент адъюгата на детерминант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n; i++)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for (int j = 0; j &lt; n; j++) 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inverseMatrix[i][j] = adj[i][j] / det;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true;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// Функция для обращения матрицы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check_eps(int index, double r, double t)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dif = fabs(U(r, t) - V_arrTn[index]);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(dif &gt; eps)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eps = dif;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//std::cout &lt;&lt; " " &lt;&lt; eps &lt;&lt; "\n";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show_array(double* arrayv, int size)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std::cout.setf(std::ios::scientific);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size;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arrayv[i] &lt;&lt; " ";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std::endl;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show_matrix(double matrix[N + 1][N + 1], int size)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size;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show_array(matrix[i], size);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reset()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eps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V_arrTn[i] = phi(R_arr[i]);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program()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std::cout.setf(std::ios::scientific);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(size_t M = 10; M &lt;= 1000000; M *= 10)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reset();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//show_array(V_arrTn,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double Ht = (T1 - T0) / M;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//fill_A(Ht);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fill_A_Back(Ht);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//show_matrix(A,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inverse(A, A_inv, N + 1);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//show_matrix(A_inv,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double t =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for (size_t j = 1; j &lt;= M; j++)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t += Ht;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fill_G(Ht,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//show_array(G,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//Явный метод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//mul_matrix_vector(A, V_arrTn,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//sum_vectors(V_arrTn, G,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//show_array(V_arrTn,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//Неявный метод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//show_array(G,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sum_vectors(V_arrTn, G, N + 1);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mul_matrix_vector(A_inv, V_arrTn, N + 1);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//show_array(V_arrTn, N+1);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for (size_t i = 0; i &lt; N + 1; i++)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check_eps(i, R_arr[i], t);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"H = " &lt;&lt; Ht &lt;&lt; "\tEps = " &lt;&lt; eps &lt;&lt; "\n";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fill_K();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fill_Q();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fill_R();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fill_Rd();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fill_H();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fill_Hs();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program();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2496" w:leader="none"/>
        </w:tabs>
        <w:ind w:left="-566"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-566" w:right="757" w:hanging="0"/>
        <w:rPr/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Ubuntu">
    <w:charset w:val="01"/>
    <w:family w:val="auto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1"/>
    <w:next w:val="Normal1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Normal1"/>
    <w:next w:val="Normal1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qFormat/>
    <w:rsid w:val="00c209c1"/>
    <w:rPr>
      <w:color w:val="0563C1" w:themeColor="hyperlink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2">
    <w:name w:val="Ссылка указателя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1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1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0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5"/>
    <w:pPr/>
    <w:rPr/>
  </w:style>
  <w:style w:type="paragraph" w:styleId="Style25">
    <w:name w:val="TOC Heading"/>
    <w:basedOn w:val="1"/>
    <w:uiPriority w:val="39"/>
    <w:unhideWhenUsed/>
    <w:qFormat/>
    <w:rsid w:val="00c27d1e"/>
    <w:pPr/>
    <w:rPr/>
  </w:style>
  <w:style w:type="paragraph" w:styleId="12">
    <w:name w:val="TOC 1"/>
    <w:basedOn w:val="Normal1"/>
    <w:autoRedefine/>
    <w:uiPriority w:val="39"/>
    <w:unhideWhenUsed/>
    <w:rsid w:val="00c209c1"/>
    <w:pPr>
      <w:spacing w:before="0" w:after="100"/>
    </w:pPr>
    <w:rPr/>
  </w:style>
  <w:style w:type="paragraph" w:styleId="22">
    <w:name w:val="TOC 2"/>
    <w:basedOn w:val="Normal1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Normal1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1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1"/>
    <w:qFormat/>
    <w:pPr/>
    <w:rPr/>
  </w:style>
  <w:style w:type="paragraph" w:styleId="Style2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17</Pages>
  <Words>1939</Words>
  <Characters>9272</Characters>
  <CharactersWithSpaces>12169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2024-12-08T13:52:30Z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