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учреждение высшего образования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«МИРЭА — Российский технологический университет»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РТУ МИРЭА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/>
          <w:sz w:val="28"/>
        </w:rPr>
        <w:t>ОТЧЁТ ПО ПРАКТИЧЕСКОЙ РАБОТЕ № 4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«Управление информационно-технологическими услугами»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Тема: «Соглашение об уровне обслуживания»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right"/>
      </w:pPr>
      <w:r>
        <w:rPr>
          <w:b w:val="0"/>
          <w:sz w:val="28"/>
        </w:rPr>
        <w:t>Выполнили: студенты группы ИКБО-74-23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Тарасов Арсений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Дементиевский Дмитрий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Тыцкий Богдан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Проверил: ассистент Демидов Н.А.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Москва, 2026</w:t>
      </w:r>
    </w:p>
    <w:p>
      <w:pPr>
        <w:pStyle w:val="Heading1"/>
        <w:spacing w:after="280"/>
        <w:jc w:val="center"/>
      </w:pPr>
      <w:bookmarkStart w:id="101" w:name="_TocUITU1"/>
      <w:r>
        <w:t>РЕФЕРАТ</w:t>
      </w:r>
      <w:bookmarkEnd w:id="101"/>
    </w:p>
    <w:p>
      <w:pPr>
        <w:keepNext w:val="0"/>
      </w:pPr>
      <w:r>
        <w:t>Объём отчёта: 17 с., 0 рис., 9 табл., 5 источников.</w:t>
      </w:r>
    </w:p>
    <w:p>
      <w:pPr>
        <w:keepNext w:val="0"/>
      </w:pPr>
      <w:r>
        <w:rPr>
          <w:b w:val="0"/>
          <w:sz w:val="28"/>
        </w:rPr>
        <w:t>SLA, ИТ-УСЛУГА, КАТАЛОГ УСЛУГ, ПРИОРИТЕТ, ИНЦИДЕНТ, ДОСТУПНОСТЬ, ПОДДЕРЖКА, ОТВЕТСТВЕННОСТЬ, ТЕХНОСЕРВИС</w:t>
      </w:r>
    </w:p>
    <w:p>
      <w:pPr>
        <w:keepNext w:val="0"/>
      </w:pPr>
      <w:r>
        <w:rPr>
          <w:b w:val="0"/>
          <w:sz w:val="28"/>
        </w:rPr>
        <w:t>Объект работы — предоставление ИТ-услуг ООО «ТехноСервис». Цель — согласовать измеримые условия обслуживания по шести услугам единого каталога. Применены анализ каталога и сервисно-ресурсных моделей, классификация инцидентов и распределение ответственности. Разработано учебное соглашение SLA: определены границы услуг, исходные тарифы, метрики доступности, приоритеты и сроки, уровни поддержки, статусы и порядок эскалации. Условия SLA используются при моделировании процессов и в прототипе ITSM-системы. Результат предназначен для согласования условий обслуживания и контроля обращений; договорная и экономическая эффективность в реальной эксплуатации не оценивалась.</w:t>
      </w:r>
    </w:p>
    <w:p>
      <w:pPr>
        <w:pStyle w:val="TOCHeading"/>
        <w:spacing w:after="28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UITU1">
            <w:r>
              <w:t>РЕФЕРАТ</w:t>
            </w:r>
          </w:hyperlink>
          <w:r>
            <w:tab/>
          </w:r>
          <w:r>
            <w:t>2</w:t>
          </w:r>
        </w:p>
        <w:p>
          <w:pPr>
            <w:pStyle w:val="TOC1"/>
          </w:pPr>
          <w:hyperlink w:anchor="_TocUITU2">
            <w:r>
              <w:t>ВВЕДЕНИЕ</w:t>
            </w:r>
          </w:hyperlink>
          <w:r>
            <w:tab/>
          </w:r>
          <w:r>
            <w:t>4</w:t>
          </w:r>
        </w:p>
        <w:p>
          <w:pPr>
            <w:pStyle w:val="TOC1"/>
          </w:pPr>
          <w:hyperlink w:anchor="_TocUITU3">
            <w:r>
              <w:t>1 ВЫПОЛНЕНИЕ РАБОТЫ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4">
            <w:r>
              <w:t>1.1 Назначение, стороны и границы соглашения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5">
            <w:r>
              <w:t>1.2 Состав и стоимость услуг</w:t>
            </w:r>
          </w:hyperlink>
          <w:r>
            <w:tab/>
          </w:r>
          <w:r>
            <w:t>6</w:t>
          </w:r>
        </w:p>
        <w:p>
          <w:pPr>
            <w:pStyle w:val="TOC2"/>
          </w:pPr>
          <w:hyperlink w:anchor="_TocUITU6">
            <w:r>
              <w:t>1.3 Единицы стоимости и порядок расчёта</w:t>
            </w:r>
          </w:hyperlink>
          <w:r>
            <w:tab/>
          </w:r>
          <w:r>
            <w:t>7</w:t>
          </w:r>
        </w:p>
        <w:p>
          <w:pPr>
            <w:pStyle w:val="TOC2"/>
          </w:pPr>
          <w:hyperlink w:anchor="_TocUITU7">
            <w:r>
              <w:t>1.4 Применяемый инструментарий</w:t>
            </w:r>
          </w:hyperlink>
          <w:r>
            <w:tab/>
          </w:r>
          <w:r>
            <w:t>8</w:t>
          </w:r>
        </w:p>
        <w:p>
          <w:pPr>
            <w:pStyle w:val="TOC2"/>
          </w:pPr>
          <w:hyperlink w:anchor="_TocUITU8">
            <w:r>
              <w:t>1.5 Ответственность и согласование работ</w:t>
            </w:r>
          </w:hyperlink>
          <w:r>
            <w:tab/>
          </w:r>
          <w:r>
            <w:t>9</w:t>
          </w:r>
        </w:p>
        <w:p>
          <w:pPr>
            <w:pStyle w:val="TOC2"/>
          </w:pPr>
          <w:hyperlink w:anchor="_TocUITU9">
            <w:r>
              <w:t>1.6 Доступность и измерение качества</w:t>
            </w:r>
          </w:hyperlink>
          <w:r>
            <w:tab/>
          </w:r>
          <w:r>
            <w:t>10</w:t>
          </w:r>
        </w:p>
        <w:p>
          <w:pPr>
            <w:pStyle w:val="TOC2"/>
          </w:pPr>
          <w:hyperlink w:anchor="_TocUITU10">
            <w:r>
              <w:t>1.7 Приоритеты и сроки реакции и решения</w:t>
            </w:r>
          </w:hyperlink>
          <w:r>
            <w:tab/>
          </w:r>
          <w:r>
            <w:t>11</w:t>
          </w:r>
        </w:p>
        <w:p>
          <w:pPr>
            <w:pStyle w:val="TOC2"/>
          </w:pPr>
          <w:hyperlink w:anchor="_TocUITU11">
            <w:r>
              <w:t>1.8 Уровни поддержки и эскалация</w:t>
            </w:r>
          </w:hyperlink>
          <w:r>
            <w:tab/>
          </w:r>
          <w:r>
            <w:t>12</w:t>
          </w:r>
        </w:p>
        <w:p>
          <w:pPr>
            <w:pStyle w:val="TOC2"/>
          </w:pPr>
          <w:hyperlink w:anchor="_TocUITU12">
            <w:r>
              <w:t>1.9 Статусы и порядок выполнения обращений</w:t>
            </w:r>
          </w:hyperlink>
          <w:r>
            <w:tab/>
          </w:r>
          <w:r>
            <w:t>13</w:t>
          </w:r>
        </w:p>
        <w:p>
          <w:pPr>
            <w:pStyle w:val="TOC2"/>
          </w:pPr>
          <w:hyperlink w:anchor="_TocUITU13">
            <w:r>
              <w:t>1.10 Распределённые проекты и управление изменениями</w:t>
            </w:r>
          </w:hyperlink>
          <w:r>
            <w:tab/>
          </w:r>
          <w:r>
            <w:t>14</w:t>
          </w:r>
        </w:p>
        <w:p>
          <w:pPr>
            <w:pStyle w:val="TOC2"/>
          </w:pPr>
          <w:hyperlink w:anchor="_TocUITU14">
            <w:r>
              <w:t>1.11 Отчётность, нарушения и пересмотр SLA</w:t>
            </w:r>
          </w:hyperlink>
          <w:r>
            <w:tab/>
          </w:r>
          <w:r>
            <w:t>15</w:t>
          </w:r>
        </w:p>
        <w:p>
          <w:pPr>
            <w:pStyle w:val="TOC1"/>
          </w:pPr>
          <w:hyperlink w:anchor="_TocUITU15">
            <w:r>
              <w:t>ЗАКЛЮЧЕНИЕ</w:t>
            </w:r>
          </w:hyperlink>
          <w:r>
            <w:tab/>
          </w:r>
          <w:r>
            <w:t>16</w:t>
          </w:r>
        </w:p>
        <w:p>
          <w:pPr>
            <w:pStyle w:val="TOC1"/>
          </w:pPr>
          <w:hyperlink w:anchor="_TocUITU16">
            <w:r>
              <w:t>СПИСОК ИСПОЛЬЗОВАННЫХ ИСТОЧНИКОВ</w:t>
            </w:r>
          </w:hyperlink>
          <w:r>
            <w:tab/>
          </w:r>
          <w:r>
            <w:t>17</w:t>
          </w:r>
          <w:r>
            <w:fldChar w:fldCharType="end"/>
          </w:r>
        </w:p>
      </w:sdtContent>
    </w:sdt>
    <w:p>
      <w:pPr>
        <w:pStyle w:val="Heading1"/>
        <w:spacing w:after="280"/>
        <w:jc w:val="center"/>
      </w:pPr>
      <w:bookmarkStart w:id="102" w:name="_TocUITU2"/>
      <w:r>
        <w:t>ВВЕДЕНИЕ</w:t>
      </w:r>
      <w:bookmarkEnd w:id="102"/>
    </w:p>
    <w:p>
      <w:pPr>
        <w:keepNext w:val="0"/>
      </w:pPr>
      <w:r>
        <w:rPr>
          <w:b w:val="0"/>
          <w:sz w:val="28"/>
        </w:rPr>
        <w:t>Цель практической работы — составить соглашение об уровне обслуживания для ООО «ТехноСервис» с соблюдением обязательных положений задания [1]. Соглашение продолжает каталог первой работы [2], функциональную организационную структуру второй работы [3] и сервисно-ресурсные модели третьей работы [4].</w:t>
      </w:r>
    </w:p>
    <w:p>
      <w:pPr>
        <w:keepNext w:val="0"/>
      </w:pPr>
      <w:r>
        <w:rPr>
          <w:b w:val="0"/>
          <w:sz w:val="28"/>
        </w:rPr>
        <w:t>Предмет разработки — правила взаимодействия поставщика и заказчика при предоставлении шести услуг двух линий: «Доступ/аренда» и «Управление». Основная проблема — отсутствие в исходном каталоге измеримых сроков обработки и единого порядка контроля качества при наличии круглосуточной поддержки.</w:t>
      </w:r>
    </w:p>
    <w:p>
      <w:pPr>
        <w:keepNext w:val="0"/>
      </w:pPr>
      <w:r>
        <w:rPr>
          <w:b w:val="0"/>
          <w:sz w:val="28"/>
        </w:rPr>
        <w:t>Выполнение работы включает фиксацию границ и стоимости услуг, распределение ответственности, определение доступности и приоритетов, организацию линий поддержки и жизненного цикла обращений. Тарифы и технический состав сохранены из предыдущих работ. Новые целевые показатели, сроки и правила компенсации явно приняты как условия учебной модели.</w:t>
      </w:r>
    </w:p>
    <w:p>
      <w:pPr>
        <w:keepNext w:val="0"/>
      </w:pPr>
      <w:r>
        <w:rPr>
          <w:b w:val="0"/>
          <w:sz w:val="28"/>
        </w:rPr>
        <w:t>Отчёт оформлен по предоставленным кратким рекомендациям к ГОСТ 7.32–2017 [5]. Полученное SLA служит нормативной основой работ №5 и №6. Оно представляет согласованную модель обслуживания, а не действующий договор с реальным заказчиком.</w:t>
      </w:r>
    </w:p>
    <w:p>
      <w:pPr>
        <w:pStyle w:val="Heading1"/>
        <w:spacing w:after="280"/>
      </w:pPr>
      <w:bookmarkStart w:id="103" w:name="_TocUITU3"/>
      <w:r>
        <w:t>1 ВЫПОЛНЕНИЕ РАБОТЫ</w:t>
      </w:r>
      <w:bookmarkEnd w:id="103"/>
    </w:p>
    <w:p>
      <w:pPr>
        <w:pStyle w:val="Heading2"/>
        <w:spacing w:after="280"/>
      </w:pPr>
      <w:bookmarkStart w:id="104" w:name="_TocUITU4"/>
      <w:r>
        <w:t>1.1 Назначение, стороны и границы соглашения</w:t>
      </w:r>
      <w:bookmarkEnd w:id="104"/>
    </w:p>
    <w:p>
      <w:pPr>
        <w:keepNext w:val="0"/>
      </w:pPr>
      <w:r>
        <w:rPr>
          <w:b w:val="0"/>
          <w:sz w:val="28"/>
        </w:rPr>
        <w:t>Соглашение SLA-TS-2026, версия 1.0 от 22.10.2026. Исполнитель — ООО «ТехноСервис», основанное 15 марта 2020 года и предоставляющее услуги аренды и управления ИТ-инфраструктурой. Заказчик в учебной модели — организация, использующая выбранные услуги по согласованной спецификации. Представителем заказчика считается уполномоченный сотрудник с зарегистрированной учётной записью.</w:t>
      </w:r>
    </w:p>
    <w:p>
      <w:pPr>
        <w:keepNext w:val="0"/>
      </w:pPr>
      <w:r>
        <w:rPr>
          <w:b w:val="0"/>
          <w:sz w:val="28"/>
        </w:rPr>
        <w:t>Соглашение распространяется на удалённое предоставление ресурсов, администрирование, мониторинг, поддержку и восстановление в пределах согласованного каталога. Географическое положение заказчика не ограничивает приём обращения при наличии доступного канала связи. Местоположение ресурсов и разрешённые способы доступа фиксируются в спецификации услуги, без подмены адресами из шаблона методички.</w:t>
      </w:r>
    </w:p>
    <w:p>
      <w:pPr>
        <w:keepNext w:val="0"/>
      </w:pPr>
      <w:r>
        <w:rPr>
          <w:b w:val="0"/>
          <w:sz w:val="28"/>
        </w:rPr>
        <w:t>Регистрация обращений, мониторинг и поддержка выполняются круглосуточно, 24 часа в сутки, 7 дней в неделю, включая выходные. Сроки реакции и решения исчисляются в календарных минутах и часах. Время в уведомлениях и отчётах отображается по Москве (UTC+3); журнал событий хранится в UTC.</w:t>
      </w:r>
    </w:p>
    <w:p>
      <w:pPr>
        <w:keepNext w:val="0"/>
      </w:pPr>
      <w:r>
        <w:rPr>
          <w:b w:val="0"/>
          <w:sz w:val="28"/>
        </w:rPr>
        <w:t>В состав базового обслуживания входят обработка инцидентов, связанных с предоставляемыми услугами, и работы по восстановлению согласованной конфигурации. Разработка нового ПО, закупка оборудования, расширение ресурсов, миграции и обучение за пределами описания услуги оцениваются отдельно и выполняются только после согласования изменения.</w:t>
      </w:r>
    </w:p>
    <w:p>
      <w:pPr>
        <w:keepNext w:val="0"/>
      </w:pPr>
      <w:r>
        <w:rPr>
          <w:b w:val="0"/>
          <w:sz w:val="28"/>
        </w:rPr>
        <w:t>Соглашение действует в рамках учебного проекта 2026 года. При противоречии параметров приоритет имеют явно согласованная спецификация и индивидуальные условия услуги; изменения фиксируются версией SLA. Изменение целевых показателей задним числом не допускается.</w:t>
      </w:r>
    </w:p>
    <w:p>
      <w:pPr>
        <w:pStyle w:val="Heading2"/>
        <w:pageBreakBefore/>
        <w:spacing w:after="280"/>
      </w:pPr>
      <w:bookmarkStart w:id="105" w:name="_TocUITU5"/>
      <w:r>
        <w:t>1.2 Состав и стоимость услуг</w:t>
      </w:r>
      <w:bookmarkEnd w:id="105"/>
    </w:p>
    <w:p>
      <w:pPr>
        <w:keepNext w:val="0"/>
      </w:pPr>
      <w:r>
        <w:rPr>
          <w:b w:val="0"/>
          <w:sz w:val="28"/>
        </w:rPr>
        <w:t>Ниже воспроизведены все шесть услуг и базовые тарифы исходного каталога [2]. Формулировки «от» означают минимальную цену; итоговая стоимость определяется количеством ресурсов и согласованной конфигурацией. Новые расценки из примера методички не используются.</w:t>
      </w:r>
    </w:p>
    <w:p>
      <w:pPr>
        <w:keepNext/>
      </w:pPr>
      <w:r>
        <w:rPr>
          <w:b w:val="0"/>
          <w:sz w:val="28"/>
        </w:rPr>
        <w:t>Данные представлены в таблице 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 — Каталог и тарифы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3402"/>
        <w:gridCol w:w="3231"/>
      </w:tblGrid>
      <w:tr>
        <w:trPr>
          <w:tblHeader/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Состав базового обслуживания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Тариф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вычислительных ресурсов в аренду для разработки ПО, тестирования и хостинга сайтов.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500 ₽/мес. за 1 vCPU, 1 ГБ RAM, 10 ГБ SSD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 программного обеспечения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лицензий на использование ПО для автоматизации бизнеса и офисной работы.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1 000 ₽/мес. за пользователя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к облачному хранилищу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Хранение данных в облаке для документооборота и резервного копирования.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200 ₽/мес. за 100 ГБ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серверной инфраструктурой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 серверов заказчика, обновление и поддержание конфигураций ИТ-систем.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10 000 ₽/мес. за сервер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 работоспособности систем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Круглосуточный мониторинг и устранение неполадок для бесперебойной работы бизнеса.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5 000 ₽/мес. за узел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резервным копированием и восстановлением данных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Настройка, выполнение и контроль резервного копирования, восстановление данных.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3 000 ₽/мес. за 1 ТБ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Аренда виртуальных серверов, лицензирование и хранилище относятся к линии «Доступ/аренда». Администрирование, мониторинг и резервное копирование относятся к линии «Управление». Поддерживающие компоненты каждой услуги определены в сервисно-ресурсных моделях [4].</w:t>
      </w:r>
    </w:p>
    <w:p>
      <w:pPr>
        <w:pStyle w:val="Heading2"/>
        <w:pageBreakBefore/>
        <w:spacing w:after="280"/>
      </w:pPr>
      <w:bookmarkStart w:id="106" w:name="_TocUITU6"/>
      <w:r>
        <w:t>1.3 Единицы стоимости и порядок расчёта</w:t>
      </w:r>
      <w:bookmarkEnd w:id="106"/>
    </w:p>
    <w:p>
      <w:pPr>
        <w:keepNext/>
      </w:pPr>
      <w:r>
        <w:rPr>
          <w:b w:val="0"/>
          <w:sz w:val="28"/>
        </w:rPr>
        <w:t>Данные представлены в таблице 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 — Единицы тарификации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835"/>
        <w:gridCol w:w="3969"/>
      </w:tblGrid>
      <w:tr>
        <w:trPr>
          <w:tblHeader/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Единица учёта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Правило расчёта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Виртуальный сервер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Комплект: 1 vCPU + 1 ГБ RAM + 10 ГБ SSD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500 × количество согласованных комплектов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 ПО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Пользователь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1 000 × число лицензируемых пользователей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Облачное хранилище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100 ГБ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200 × число согласованных пакетов по 100 ГБ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Сервер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10 000 × число серверов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Узел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5 000 × число наблюдаемых узлов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Резервное копирование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 ТБ в месяц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3 000 × объём по договору в ТБ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Пример расчёта по минимальным тарифам: 4 комплекта ресурсов ВМ, 10 пользователей ПО, 5 пакетов хранилища, 2 администрируемых сервера, 3 узла мониторинга и 2 ТБ резервных копий стоят 500 × 4 + 1 000 × 10 + 200 × 5 + 10 000 × 2 + 5 000 × 3 + 3 000 × 2 = 54 000 руб. в месяц. Это учебный расчёт, а не коммерческое предложение.</w:t>
      </w:r>
    </w:p>
    <w:p>
      <w:pPr>
        <w:keepNext w:val="0"/>
      </w:pPr>
      <w:r>
        <w:rPr>
          <w:b w:val="0"/>
          <w:sz w:val="28"/>
        </w:rPr>
        <w:t>Дробное использование месяца, налоговый режим, минимальный оплачиваемый объём и лицензии сторонних вендоров согласуются отдельно: исходные материалы их не определяют. Почасовая тарификация, надбавка за выходные и цены на дополнительные работы не вводятся автоматически. Заказчик получает согласованную оценку до начала таких работ.</w:t>
      </w:r>
    </w:p>
    <w:p>
      <w:pPr>
        <w:pStyle w:val="Heading2"/>
        <w:pageBreakBefore/>
        <w:spacing w:after="280"/>
      </w:pPr>
      <w:bookmarkStart w:id="107" w:name="_TocUITU7"/>
      <w:r>
        <w:t>1.4 Применяемый инструментарий</w:t>
      </w:r>
      <w:bookmarkEnd w:id="107"/>
    </w:p>
    <w:p>
      <w:pPr>
        <w:keepNext w:val="0"/>
      </w:pPr>
      <w:r>
        <w:rPr>
          <w:b w:val="0"/>
          <w:sz w:val="28"/>
        </w:rPr>
        <w:t>Инструменты соответствуют техническому каталогу и моделям зависимостей [2, 4]. Запись через косую черту означает альтернативы исходной модели, а не обязательную одновременную установку двух продуктов.</w:t>
      </w:r>
    </w:p>
    <w:p>
      <w:pPr>
        <w:keepNext/>
      </w:pPr>
      <w:r>
        <w:rPr>
          <w:b w:val="0"/>
          <w:sz w:val="28"/>
        </w:rPr>
        <w:t>Данные представлены в таблице 3.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3 — Программные, аппаратные и сетевые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969"/>
        <w:gridCol w:w="3402"/>
      </w:tblGrid>
      <w:tr>
        <w:trPr>
          <w:tblHeader/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Направление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Средства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VMware vSphere, БД конфигураций, гипервизор, сервер БД, СХД и сеть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Выделение ресурсов, хранение конфигурации, управление жизненным циклом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Лицензии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FlexLM или KMS, БД лицензий, отдельные серверы лицензий и БД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Выдача и проверка лицензий, контроль срока действия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Хранилище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Веб-интерфейс/API, БД метаданных, СХД, сервер приложений и сервер БД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Хранение файлов, прав и метаданных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Ansible или SCCM, БД конфигураций, управляемые серверы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Изменение настроек, обновление и учёт конфигураций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Zabbix или Prometheus, агенты, БД метрик, сервер БД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Сбор метрик, выявление событий и регистрация инцидентов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Копирование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Veeam, каталог копий, СХД, сервер бэкапов и сервер БД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Выполнение заданий, хранение копий, восстановление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Коммуникации: Service Desk — основной канал учёта, телефон — аварийный канал при недоступности портала, электронная почта и личные сообщения — вспомогательные каналы. Контакты указываются в спецификации заказчика. Устные и телефонные обращения обязательно регистрируются оператором; время первого подтверждённого поступления сохраняется в журнале.</w:t>
      </w:r>
    </w:p>
    <w:p>
      <w:pPr>
        <w:pStyle w:val="Heading2"/>
        <w:pageBreakBefore/>
        <w:spacing w:after="280"/>
      </w:pPr>
      <w:bookmarkStart w:id="108" w:name="_TocUITU8"/>
      <w:r>
        <w:t>1.5 Ответственность и согласование работ</w:t>
      </w:r>
      <w:bookmarkEnd w:id="108"/>
    </w:p>
    <w:p>
      <w:pPr>
        <w:keepNext w:val="0"/>
      </w:pPr>
      <w:r>
        <w:rPr>
          <w:b w:val="0"/>
          <w:sz w:val="28"/>
        </w:rPr>
        <w:t>Функциональная структура из работы №2 сохраняется: глава предприятия руководит четырьмя функциональными подразделениями. Координация проекта не заменяет прямого подчинения. Ответственность за SLA закрепляется за руководителем отдела управления и поддержки [3].</w:t>
      </w:r>
    </w:p>
    <w:p>
      <w:pPr>
        <w:keepNext/>
      </w:pPr>
      <w:r>
        <w:rPr>
          <w:b w:val="0"/>
          <w:sz w:val="28"/>
        </w:rPr>
        <w:t>Данные представлены в таблице 4.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 — Распределение ответственности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3402"/>
        <w:gridCol w:w="3005"/>
      </w:tblGrid>
      <w:tr>
        <w:trPr>
          <w:tblHeader/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Участник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Ответственность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Граница полномочий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Глава предприятия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Утверждение SLA, ресурсов и значимых исключений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Разрешает спорные вопросы между подразделениями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Отдел аренды и доступа: руководитель, инженер аренды, специалист по лицензированию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ВМ, хранилища и лицензий; учёт выделенных ресурсов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меняет параметры заказчика без согласования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Отдел управления и поддержки: руководитель, системный администратор, инженер мониторинга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Контроль событий, обработка инцидентов, восстановление, эскалация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Согласует рискованные изменения и ведёт историю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Отдел разработки и развития: руководитель, разработчик, аналитик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Развитие ITSM, анализ требований и дефектов приложения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Изменения проходят оценку и отдельное согласование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Финансово-административный отдел: руководитель, бухгалтер, HR-специалист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Расчёты, договорные документы, обеспечение дежурств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вмешивается в техническое назначение приоритета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Заказчик и его уполномоченные сотрудники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Описание влияния, актуальные контакты, доступ, проверка результата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Отвечает за свои приложения и действия вне границ услуги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Исполнитель отвечает за согласованные ресурсы и действия своих сотрудников. Заказчик обеспечивает правомерность данных и лицензий, хранение собственных учётных данных и своевременное согласование доступа. Неполадки внешнего провайдера не признаются исключением автоматически: подтверждаются причина, затронутая граница и период влияния.</w:t>
      </w:r>
    </w:p>
    <w:p>
      <w:pPr>
        <w:pStyle w:val="Heading2"/>
        <w:pageBreakBefore/>
        <w:spacing w:after="280"/>
      </w:pPr>
      <w:bookmarkStart w:id="109" w:name="_TocUITU9"/>
      <w:r>
        <w:t>1.6 Доступность и измерение качества</w:t>
      </w:r>
      <w:bookmarkEnd w:id="109"/>
    </w:p>
    <w:p>
      <w:pPr>
        <w:keepNext w:val="0"/>
      </w:pPr>
      <w:r>
        <w:rPr>
          <w:b w:val="0"/>
          <w:sz w:val="28"/>
        </w:rPr>
        <w:t>Целевые показатели следующей таблицы вводятся в учебной модели дополнительно к каталогу. Доступность относится к согласованной точке проверки услуги, а не к работоспособности любого приложения заказчика.</w:t>
      </w:r>
    </w:p>
    <w:p>
      <w:pPr>
        <w:keepNext/>
      </w:pPr>
      <w:r>
        <w:rPr>
          <w:b w:val="0"/>
          <w:sz w:val="28"/>
        </w:rPr>
        <w:t>Данные представлены в таблице 5.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5 — Метрики качества услуг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3855"/>
        <w:gridCol w:w="3061"/>
      </w:tblGrid>
      <w:tr>
        <w:trPr>
          <w:tblHeader/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Контрольная точка и показатель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Цель учебной модели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гостевой ОС по согласованной проверке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 за месяц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сервера выдачи лицензий; срок плановой выдачи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99,5 %; до 1 календарного дня после согласования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Облачное хранилище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Успешная операция чтения/записи тестового объекта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 за месяц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Выполнение согласованного плана и обработка инцидентов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100 % согласованных изменений с журналом; сроки по приоритету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системы наблюдения; интервал сбора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99,5 %; целевой интервал до 60 секунд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Резервное копирование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Успешность заданий, точка и время восстановления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98 % заданий; RPO до 24 ч, RTO до 8 ч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Месячная доступность A = 100 × (T − M − D) / (T − M), где T — календарные минуты месяца; M — заранее согласованное обслуживание; D — подтверждённый незапланированный простой в оставшемся интервале. При T = 43 200 минут и M = 0 показатель 99,5 % допускает 216 минут незапланированного простоя.</w:t>
      </w:r>
    </w:p>
    <w:p>
      <w:pPr>
        <w:keepNext w:val="0"/>
      </w:pPr>
      <w:r>
        <w:rPr>
          <w:b w:val="0"/>
          <w:sz w:val="28"/>
        </w:rPr>
        <w:t>Плановые работы объявляются не позднее чем за 48 часов; исключаемое обслуживание ограничено 120 минутами за месяц. Превышение лимита считается простоем. Источники измерения — история мониторинга, журнал событий и обращения; спорные интервалы сверяются с заказчиком. RPO и RTO действуют только при наличии согласованного охвата копирования и доступной исправной копии.</w:t>
      </w:r>
    </w:p>
    <w:p>
      <w:pPr>
        <w:pStyle w:val="Heading2"/>
        <w:pageBreakBefore/>
        <w:spacing w:after="280"/>
      </w:pPr>
      <w:bookmarkStart w:id="110" w:name="_TocUITU10"/>
      <w:r>
        <w:t>1.7 Приоритеты и сроки реакции и решения</w:t>
      </w:r>
      <w:bookmarkEnd w:id="110"/>
    </w:p>
    <w:p>
      <w:pPr>
        <w:keepNext w:val="0"/>
      </w:pPr>
      <w:r>
        <w:rPr>
          <w:b w:val="0"/>
          <w:sz w:val="28"/>
        </w:rPr>
        <w:t>Приоритет определяется влиянием на бизнес и срочностью восстановления. Заказчик указывает исходный приоритет и последствия, оператор проверяет обоснование. Часы SLA начинаются с регистрации; в аварийном канале оператор учитывает подтверждённое время первичного обращения.</w:t>
      </w:r>
    </w:p>
    <w:p>
      <w:pPr>
        <w:keepNext/>
      </w:pPr>
      <w:r>
        <w:rPr>
          <w:b w:val="0"/>
          <w:sz w:val="28"/>
        </w:rPr>
        <w:t>Данные представлены в таблице 6.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6 — Приоритеты инцидентов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1417"/>
        <w:gridCol w:w="1417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Приоритет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Критерий и пример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Реакция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Решение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P1 — критический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Остановка критичного процесса без обходного пути; недоступность производственной ВМ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15 минут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P2 — высокий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Значительное ухудшение или отказ важного компонента; обходной путь ограничен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30 минут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8 часов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P3 — средний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Локальный сбой с рабочим обходным путём; часть пользователей сохраняет доступ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 часа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24 часа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P4 — низкий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Некритичная неисправность без существенного влияния; консультационный инцидент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72 часа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Реакция — содержательное принятие обращения специалистом с фиксацией первого действия, а не автоматическое уведомление. Решение — восстановление согласованной работоспособности или принятый заказчиком обходной путь с описанием действий. Изменение функциональности и плановая поставка ресурсов оформляются запросом на изменение и имеют отдельный согласованный срок.</w:t>
      </w:r>
    </w:p>
    <w:p>
      <w:pPr>
        <w:keepNext w:val="0"/>
      </w:pPr>
      <w:r>
        <w:rPr>
          <w:b w:val="0"/>
          <w:sz w:val="28"/>
        </w:rPr>
        <w:t>Внутри приоритета действует FIFO по времени регистрации, затем по номеру. Отступление от очереди обосновывается в истории. P1 немедленно эскалируется руководителю поддержки; риск остальных нарушений — при использовании 75 % срока решения.</w:t>
      </w:r>
    </w:p>
    <w:p>
      <w:pPr>
        <w:keepNext w:val="0"/>
      </w:pPr>
      <w:r>
        <w:rPr>
          <w:b w:val="0"/>
          <w:sz w:val="28"/>
        </w:rPr>
        <w:t>Заказчик запрашивает пересмотр приоритета с описанием влияния. Поддержка фиксирует старое и новое значение, время и причину. Дедлайн считается от исходной регистрации. Спор решает руководитель поддержки; до решения действует более высокий обоснованный приоритет.</w:t>
      </w:r>
    </w:p>
    <w:p>
      <w:pPr>
        <w:pStyle w:val="Heading2"/>
        <w:pageBreakBefore/>
        <w:spacing w:after="280"/>
      </w:pPr>
      <w:bookmarkStart w:id="111" w:name="_TocUITU11"/>
      <w:r>
        <w:t>1.8 Уровни поддержки и эскалация</w:t>
      </w:r>
      <w:bookmarkEnd w:id="111"/>
    </w:p>
    <w:p>
      <w:pPr>
        <w:keepNext/>
      </w:pPr>
      <w:r>
        <w:rPr>
          <w:b w:val="0"/>
          <w:sz w:val="28"/>
        </w:rPr>
        <w:t>Данные представлены в таблице 7.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7 — Уровни поддержки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4252"/>
      </w:tblGrid>
      <w:tr>
        <w:trPr>
          <w:tblHeader/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Уровень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Исполнитель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Работы и передача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L1 — приём и первичная диагностика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Дежурный сотрудник поддержки, инженер мониторинга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Регистрирует обращение, уточняет влияние, выполняет типовые проверки; при отсутствии типового решения передаёт L2 с собранными данными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L2 — профильное восстановление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Системный администратор, инженер аренды, специалист по лицензированию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Диагностирует связанные КЕ, восстанавливает конфигурацию, проводит проверку; при дефекте продукта привлекает L3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L3 — экспертная помощь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Разработчик и аналитик отдела развития, внешний вендор при наличии договора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Анализирует сложный дефект, предлагает исправление или обходной путь; ответственность перед заказчиком остаётся у исполнителя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Техническая эскалация не меняет срок SLA и не создаёт новую исходную заявку. Передающий сотрудник указывает диагноз, предпринятые действия, журналы и связанные ресурсы. Получающий сотрудник подтверждает принятие; до подтверждения ответственность сохраняет передающий.</w:t>
      </w:r>
    </w:p>
    <w:p>
      <w:pPr>
        <w:keepNext w:val="0"/>
      </w:pPr>
      <w:r>
        <w:rPr>
          <w:b w:val="0"/>
          <w:sz w:val="28"/>
        </w:rPr>
        <w:t>Организационная эскалация адресуется руководителю отдела управления и поддержки, затем главе предприятия, если нужны дополнительные ресурсы или согласование риска. Для распределённой команды назначается один координатор. Заказчик получает обновления: по P1 не реже раза в час, по P2 раз в 2 часа, по P3 и P4 не реже раза в сутки.</w:t>
      </w:r>
    </w:p>
    <w:p>
      <w:pPr>
        <w:keepNext w:val="0"/>
      </w:pPr>
      <w:r>
        <w:rPr>
          <w:b w:val="0"/>
          <w:sz w:val="28"/>
        </w:rPr>
        <w:t>Состояние ожидания используется при необходимости ответа заказчика или внешней стороны, но не приостанавливает календарные часы SLA. Отдельное исключение допускается только по зафиксированному соглашению сторон и отражается в отчёте отдельно от исходного измерения. Учебный прототип не реализует исключения и считает время непрерывно.</w:t>
      </w:r>
    </w:p>
    <w:p>
      <w:pPr>
        <w:pStyle w:val="Heading2"/>
        <w:pageBreakBefore/>
        <w:spacing w:after="280"/>
      </w:pPr>
      <w:bookmarkStart w:id="112" w:name="_TocUITU12"/>
      <w:r>
        <w:t>1.9 Статусы и порядок выполнения обращений</w:t>
      </w:r>
      <w:bookmarkEnd w:id="112"/>
    </w:p>
    <w:p>
      <w:pPr>
        <w:keepNext/>
      </w:pPr>
      <w:r>
        <w:rPr>
          <w:b w:val="0"/>
          <w:sz w:val="28"/>
        </w:rPr>
        <w:t>Данные представлены в таблице 8.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 — Жизненный цикл обращения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535"/>
        <w:gridCol w:w="3005"/>
      </w:tblGrid>
      <w:tr>
        <w:trPr>
          <w:tblHeader/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Назначение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Допустимый следующий статус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Новая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Обращение зарегистрировано, срок уже отсчитывается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Назначение, диагностика или восстановление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Ожидание; Решена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Ожидаются данные или согласование, часы SLA продолжаются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Решена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Исполнитель описал решение и зафиксировал время восстановления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Закрыта; В работе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Результат принят, обращение завершено и доступно для чтения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Переходов нет; новый сбой регистрируется отдельно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Последовательность обработки: 1) регистрация с услугой, описанием, приоритетом и КЕ; 2) проверка данных и дубликатов; 3) принятие и назначение; 4) диагностика и выбор решения; 5) выполнение и проверка; 6) перевод в «Решена» с описанием; 7) подтверждение заказчиком и закрытие. Переходы фиксируются вместе с автором и временем.</w:t>
      </w:r>
    </w:p>
    <w:p>
      <w:pPr>
        <w:keepNext w:val="0"/>
      </w:pPr>
      <w:r>
        <w:rPr>
          <w:b w:val="0"/>
          <w:sz w:val="28"/>
        </w:rPr>
        <w:t>Если заказчик не принимает результат, заявка из «Решена» возвращается в работу, прежняя история сохраняется. До окончательного восстановления длительность пересчитывается от первоначальной регистрации. Автоматического закрытия по отсутствию ответа в учебной модели нет. При смене исполнителя ответственность передаётся вместе с историей и результатами диагностики.</w:t>
      </w:r>
    </w:p>
    <w:p>
      <w:pPr>
        <w:pStyle w:val="Heading2"/>
        <w:pageBreakBefore/>
        <w:spacing w:after="280"/>
      </w:pPr>
      <w:bookmarkStart w:id="113" w:name="_TocUITU13"/>
      <w:r>
        <w:t>1.10 Распределённые проекты и управление изменениями</w:t>
      </w:r>
      <w:bookmarkEnd w:id="113"/>
    </w:p>
    <w:p>
      <w:pPr>
        <w:keepNext w:val="0"/>
      </w:pPr>
      <w:r>
        <w:rPr>
          <w:b w:val="0"/>
          <w:sz w:val="28"/>
        </w:rPr>
        <w:t>Для распределённого проекта указываются координатор заказчика, координатор исполнителя, состав доступных ресурсов и часовые пояса участников. Единым источником состояния служит карточка обращения. Переписка в иных каналах переносится в карточку ответственным сотрудником; технические пароли и персональные данные в открытые комментарии не помещаются.</w:t>
      </w:r>
    </w:p>
    <w:p>
      <w:pPr>
        <w:keepNext w:val="0"/>
      </w:pPr>
      <w:r>
        <w:rPr>
          <w:b w:val="0"/>
          <w:sz w:val="28"/>
        </w:rPr>
        <w:t>Изменения конфигурации, затрагивающие несколько услуг, сопровождаются оценкой зависимостей по сервисно-ресурсной модели: например, отказ БД конфигураций влияет на управление vSphere, а отказ сервера БД мониторинга — на сохранение метрик. Ответственный определяет затронутые услуги, согласует окно, план проверки и возврата.</w:t>
      </w:r>
    </w:p>
    <w:p>
      <w:pPr>
        <w:keepNext w:val="0"/>
      </w:pPr>
      <w:r>
        <w:rPr>
          <w:b w:val="0"/>
          <w:sz w:val="28"/>
        </w:rPr>
        <w:t>Плановое изменение оформляется с описанием причины, состава ресурсов, риска, исполнителя, времени, контрольных проверок и плана отката. Аварийное изменение разрешает руководитель поддержки для восстановления P1; основания и выполненные действия документируются сразу после стабилизации. Поставка новых ресурсов не должна скрываться внутри закрытия инцидента.</w:t>
      </w:r>
    </w:p>
    <w:p>
      <w:pPr>
        <w:keepNext w:val="0"/>
      </w:pPr>
      <w:r>
        <w:rPr>
          <w:b w:val="0"/>
          <w:sz w:val="28"/>
        </w:rPr>
        <w:t>Если портал недоступен, дежурный принимает обращения по аварийному каналу и ведёт локальный журнал. После восстановления создаёт карточки с отметкой первоначального времени и приложением подтверждения. Учебная ITSM-система позволяет фиксировать сам инцидент и историю; импорт аварийного журнала и автоматическая интеграция с мониторингом остаются отдельными задачами внедрения.</w:t>
      </w:r>
    </w:p>
    <w:p>
      <w:pPr>
        <w:keepNext w:val="0"/>
      </w:pPr>
      <w:r>
        <w:rPr>
          <w:b w:val="0"/>
          <w:sz w:val="28"/>
        </w:rPr>
        <w:t>При передаче смены дежурные сверяют незавершённые обращения, ближайшие сроки SLA, ожидаемые ответы, исполнителей и риски. Координатор обеспечивает единую коммуникацию с заказчиком, сохраняя функциональное подчинение сотрудников подразделениям.</w:t>
      </w:r>
    </w:p>
    <w:p>
      <w:pPr>
        <w:pStyle w:val="Heading2"/>
        <w:pageBreakBefore/>
        <w:spacing w:after="280"/>
      </w:pPr>
      <w:bookmarkStart w:id="114" w:name="_TocUITU14"/>
      <w:r>
        <w:t>1.11 Отчётность, нарушения и пересмотр SLA</w:t>
      </w:r>
      <w:bookmarkEnd w:id="114"/>
    </w:p>
    <w:p>
      <w:pPr>
        <w:keepNext w:val="0"/>
      </w:pPr>
      <w:r>
        <w:rPr>
          <w:b w:val="0"/>
          <w:sz w:val="28"/>
        </w:rPr>
        <w:t>До пятого календарного дня следующего месяца исполнитель предоставляет отчёт: список услуг и объёмов, интервалы доступности, обращения по приоритетам, фактические сроки реакции и решения, нарушения, причины, изменения и план предупреждения повторных сбоев. Данные мониторинга и карточек сопоставляются; исправление записи не удаляет первоначальную историю.</w:t>
      </w:r>
    </w:p>
    <w:p>
      <w:pPr>
        <w:keepNext/>
      </w:pPr>
      <w:r>
        <w:rPr>
          <w:b w:val="0"/>
          <w:sz w:val="28"/>
        </w:rPr>
        <w:t>Данные представлены в таблице 9.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9 — Реакция на нарушение качества — учебные условия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402"/>
        <w:gridCol w:w="3118"/>
      </w:tblGrid>
      <w:tr>
        <w:trPr>
          <w:tblHeader/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Событие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Действие исполнителя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Порядок согласования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Нарушен срок реакции или решения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Зафиксировать причину, ответственного и корректирующее действие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Уведомить заказчика при выявлении; включить в месячный отчёт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ниже 99,5 %, но не ниже 99,0 %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Предложить сервисный кредит 5 % месячной стоимости затронутой услуги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Рассчитать только за затронутую услугу после сверки интервалов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ниже 99,0 %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Предложить сервисный кредит 10 % стоимости затронутой услуги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Суммарный кредит за месяц ограничен 20 % её стоимости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Повторяющиеся нарушения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Провести анализ причин и согласовать план улучшения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Пересмотреть ресурсы и условия без изменения прошлых показателей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Правила сервисных кредитов введены только как учебная модель и не изменяют базовые тарифы. Претензия направляется в течение 10 календарных дней после отчёта; исполнитель отвечает в течение 5 дней. Разногласия последовательно рассматривают координаторы, руководитель поддержки и глава предприятия.</w:t>
      </w:r>
    </w:p>
    <w:p>
      <w:pPr>
        <w:keepNext w:val="0"/>
      </w:pPr>
      <w:r>
        <w:rPr>
          <w:b w:val="0"/>
          <w:sz w:val="28"/>
        </w:rPr>
        <w:t>Стороны пересматривают SLA не реже одного раза в квартал и при изменении состава услуг, ресурсов или рисков. Новая редакция содержит дату начала действия, список изменений и подтверждение представителей сторон. Прототип ITSM из работы №6 автоматизирует карточки, роли, историю и сроки; полный расчёт доступности, сервисные кредиты и финансовые документы требуют отдельной реализации.</w:t>
      </w:r>
    </w:p>
    <w:p>
      <w:pPr>
        <w:pStyle w:val="Heading1"/>
        <w:spacing w:after="280"/>
        <w:jc w:val="center"/>
      </w:pPr>
      <w:bookmarkStart w:id="115" w:name="_TocUITU15"/>
      <w:r>
        <w:t>ЗАКЛЮЧЕНИЕ</w:t>
      </w:r>
      <w:bookmarkEnd w:id="115"/>
    </w:p>
    <w:p>
      <w:pPr>
        <w:keepNext w:val="0"/>
      </w:pPr>
      <w:r>
        <w:rPr>
          <w:b w:val="0"/>
          <w:sz w:val="28"/>
        </w:rPr>
        <w:t>В практической работе разработано соглашение SLA для ООО «ТехноСервис». Сохранены шесть услуг двух линий, исходные тарифы и единицы стоимости. Технический состав согласован с сервисно-ресурсными моделями, а ответственность распределена в пределах ранее принятой функциональной структуры.</w:t>
      </w:r>
    </w:p>
    <w:p>
      <w:pPr>
        <w:keepNext w:val="0"/>
      </w:pPr>
      <w:r>
        <w:rPr>
          <w:b w:val="0"/>
          <w:sz w:val="28"/>
        </w:rPr>
        <w:t>Определены круглосуточное обслуживание, измеримые показатели качества, четыре приоритета со сроками реакции и решения, три уровня поддержки, пять статусов и правила очереди. Установлены порядок изменения приоритета, непрерывный отсчёт времени, эскалация, взаимодействие распределённых команд и рассмотрение нарушений.</w:t>
      </w:r>
    </w:p>
    <w:p>
      <w:pPr>
        <w:keepNext w:val="0"/>
      </w:pPr>
      <w:r>
        <w:rPr>
          <w:b w:val="0"/>
          <w:sz w:val="28"/>
        </w:rPr>
        <w:t>Результат обеспечивает проверяемую основу для IDEF0-моделей работы №5 и автоматизации Service Desk в работе №6. Новые показатели доступности и компенсации обозначены как условия учебной модели. Практическое подтверждение коммерческих показателей требует реальной эксплуатации и согласования договора.</w:t>
      </w:r>
    </w:p>
    <w:p>
      <w:pPr>
        <w:pStyle w:val="Heading1"/>
        <w:spacing w:after="280"/>
        <w:jc w:val="center"/>
      </w:pPr>
      <w:bookmarkStart w:id="116" w:name="_TocUITU16"/>
      <w:r>
        <w:t>СПИСОК ИСПОЛЬЗОВАННЫХ ИСТОЧНИКОВ</w:t>
      </w:r>
      <w:bookmarkEnd w:id="116"/>
    </w:p>
    <w:p>
      <w:pPr>
        <w:keepNext w:val="0"/>
      </w:pPr>
      <w:r>
        <w:rPr>
          <w:b w:val="0"/>
          <w:sz w:val="28"/>
        </w:rPr>
        <w:t>1. Управление информационно-технологическими услугами. Практическая работа №4: Соглашение об уровне обслуживания : методические указания. — Учебный материал, предоставленный к заданию. — Файл «УИТУ_Практическая работа №4_Практические занятия.docx». — Текст : электронный.</w:t>
      </w:r>
    </w:p>
    <w:p>
      <w:pPr>
        <w:keepNext w:val="0"/>
      </w:pPr>
      <w:r>
        <w:rPr>
          <w:b w:val="0"/>
          <w:sz w:val="28"/>
        </w:rPr>
        <w:t>2. Тарасов, А. М. Предприятие как субъект оказания ИТ-услуг : отчёт по практической работе №1 / А. М. Тарасов, Д. М. Дементиевский, Б. М. Тыцкий. — Москва : РТУ МИРЭА, 2026. — 6 с. — Файл prakt1.pdf. — Текст : электронный.</w:t>
      </w:r>
    </w:p>
    <w:p>
      <w:pPr>
        <w:keepNext w:val="0"/>
      </w:pPr>
      <w:r>
        <w:rPr>
          <w:b w:val="0"/>
          <w:sz w:val="28"/>
        </w:rPr>
        <w:t>3. Тарасов, А. М. Методологическая основа построения управляемых ИС : отчёт по практической работе №2 / А. М. Тарасов, Д. М. Дементиевский, Б. М. Тыцкий. — Москва : РТУ МИРЭА, 2026. — 4 с. — Файл prakt2.pdf. — Текст : электронный.</w:t>
      </w:r>
    </w:p>
    <w:p>
      <w:pPr>
        <w:keepNext w:val="0"/>
      </w:pPr>
      <w:r>
        <w:rPr>
          <w:b w:val="0"/>
          <w:sz w:val="28"/>
        </w:rPr>
        <w:t>4. Тарасов, А. М. Методология обеспечения ценности ИТ-услуг : отчёт по практической работе №3 / А. М. Тарасов, Д. М. Дементиевский, Б. М. Тыцкий. — Москва : РТУ МИРЭА, 2026. — 9 с. — Файл prakt3.pdf. — Текст : электронный.</w:t>
      </w:r>
    </w:p>
    <w:p>
      <w:pPr>
        <w:keepNext w:val="0"/>
      </w:pPr>
      <w:r>
        <w:rPr>
          <w:b w:val="0"/>
          <w:sz w:val="28"/>
        </w:rPr>
        <w:t>5. Краткие рекомендации по ГОСТ 7.32–2017. Отчёт о научно-исследовательской работе. Структура и правила оформления. — Учебный материал, предоставленный к заданию. — 19 с. — Текст : электронный.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8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</w:tabs>
      <w:spacing w:line="240" w:lineRule="auto" w:before="0" w:after="0"/>
      <w:ind w:left="283" w:firstLine="0"/>
    </w:pPr>
    <w:rPr>
      <w:rFonts w:ascii="Times New Roman" w:hAnsi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№4. Соглашение об уровне обслуживания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