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ind w:firstLine="0"/>
        <w:jc w:val="center"/>
      </w:pPr>
      <w:r>
        <w:rPr>
          <w:b w:val="0"/>
          <w:sz w:val="28"/>
        </w:rPr>
        <w:t>МИНОБРНАУКИ РОССИИ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учреждение высшего образования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«МИРЭА - Российский технологический университет»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РТУ МИРЭА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Институт информационных технологий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Кафедра корпоративных информационных систем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  <w:ind w:firstLine="0"/>
        <w:jc w:val="center"/>
      </w:pPr>
      <w:r>
        <w:rPr>
          <w:b/>
          <w:sz w:val="28"/>
        </w:rPr>
        <w:t>ОТЧЁТ ПО ПРАКТИЧЕСКОЙ РАБОТЕ № 5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по дисциплине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«Управление информационно-технологическими услугами»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Тема: «Методология функционального моделирования IDEF0»</w:t>
      </w:r>
    </w:p>
    <w:p>
      <w:pPr>
        <w:keepNext w:val="0"/>
      </w:pPr>
      <w:r>
        <w:rPr>
          <w:b w:val="0"/>
          <w:sz w:val="28"/>
        </w:rPr>
      </w:r>
    </w:p>
    <w:p>
      <w:pPr>
        <w:keepNext w:val="0"/>
        <w:ind w:firstLine="0"/>
        <w:jc w:val="right"/>
      </w:pPr>
      <w:r>
        <w:rPr>
          <w:b w:val="0"/>
          <w:sz w:val="28"/>
        </w:rPr>
        <w:t>Выполнили: студенты группы ИКБО-74-23</w:t>
      </w:r>
    </w:p>
    <w:p>
      <w:pPr>
        <w:keepNext w:val="0"/>
        <w:ind w:firstLine="0"/>
        <w:jc w:val="right"/>
      </w:pPr>
      <w:r>
        <w:rPr>
          <w:b w:val="0"/>
          <w:sz w:val="28"/>
        </w:rPr>
        <w:t>Тарасов Арсений Максимович</w:t>
      </w:r>
    </w:p>
    <w:p>
      <w:pPr>
        <w:keepNext w:val="0"/>
        <w:ind w:firstLine="0"/>
        <w:jc w:val="right"/>
      </w:pPr>
      <w:r>
        <w:rPr>
          <w:b w:val="0"/>
          <w:sz w:val="28"/>
        </w:rPr>
        <w:t>Дементиевский Дмитрий Максимович</w:t>
      </w:r>
    </w:p>
    <w:p>
      <w:pPr>
        <w:keepNext w:val="0"/>
        <w:ind w:firstLine="0"/>
        <w:jc w:val="right"/>
      </w:pPr>
      <w:r>
        <w:rPr>
          <w:b w:val="0"/>
          <w:sz w:val="28"/>
        </w:rPr>
        <w:t>Тыцкий Богдан Максимович</w:t>
      </w:r>
    </w:p>
    <w:p>
      <w:pPr>
        <w:keepNext w:val="0"/>
        <w:ind w:firstLine="0"/>
        <w:jc w:val="right"/>
      </w:pPr>
      <w:r>
        <w:rPr>
          <w:b w:val="0"/>
          <w:sz w:val="28"/>
        </w:rPr>
        <w:t>Проверил: ассистент Демидов Н.А.</w:t>
      </w:r>
    </w:p>
    <w:p>
      <w:pPr>
        <w:keepNext w:val="0"/>
      </w:pPr>
      <w:r>
        <w:rPr>
          <w:b w:val="0"/>
          <w:sz w:val="28"/>
        </w:rPr>
      </w:r>
    </w:p>
    <w:p>
      <w:pPr>
        <w:keepNext w:val="0"/>
        <w:ind w:firstLine="0"/>
        <w:jc w:val="center"/>
      </w:pPr>
      <w:r>
        <w:rPr>
          <w:b w:val="0"/>
          <w:sz w:val="28"/>
        </w:rPr>
        <w:t>Москва, 2026</w:t>
      </w:r>
    </w:p>
    <w:p>
      <w:pPr>
        <w:pStyle w:val="Heading1"/>
        <w:spacing w:after="280"/>
        <w:jc w:val="center"/>
      </w:pPr>
      <w:bookmarkStart w:id="101" w:name="_TocUITU1"/>
      <w:r>
        <w:t>РЕФЕРАТ</w:t>
      </w:r>
      <w:bookmarkEnd w:id="101"/>
    </w:p>
    <w:p>
      <w:pPr>
        <w:keepNext w:val="0"/>
      </w:pPr>
      <w:r>
        <w:t>Объём отчёта: 18 с., 10 рис., 2 табл., 7 источников.</w:t>
      </w:r>
    </w:p>
    <w:p>
      <w:pPr>
        <w:keepNext w:val="0"/>
      </w:pPr>
      <w:r>
        <w:rPr>
          <w:b w:val="0"/>
          <w:sz w:val="28"/>
        </w:rPr>
        <w:t>IDEF0, ФУНКЦИОНАЛЬНАЯ МОДЕЛЬ, ДЕКОМПОЗИЦИЯ, ICOM, ВИРТУАЛЬНЫЙ СЕРВЕР, МОНИТОРИНГ, SLA, КОНФИГУРАЦИОННАЯ ЕДИНИЦА</w:t>
      </w:r>
    </w:p>
    <w:p>
      <w:pPr>
        <w:keepNext w:val="0"/>
      </w:pPr>
      <w:r>
        <w:rPr>
          <w:b w:val="0"/>
          <w:sz w:val="28"/>
        </w:rPr>
        <w:t>Объект моделирования - предоставление услуг аренды виртуальных серверов и мониторинга ООО «ТехноСервис». Цель - раскрыть процессы до второго уровня для каждого блока первого уровня. Использованы функциональный анализ и нотация IDEF0 с согласованием входов, выходов, управления и механизмов. Построены десять диаграмм: два контекста, две декомпозиции первого уровня и шесть декомпозиций второго уровня. Получены редактируемые исходники diagrams.net и изображения для отчёта. Модели связывают каталог услуг, ресурсы и условия SLA с последующей автоматизацией Service Desk. Они пригодны для анализа ответственности и контрольных точек; программная интеграция с инфраструктурой в этой работе не выполнялась.</w:t>
      </w:r>
    </w:p>
    <w:p>
      <w:pPr>
        <w:pStyle w:val="TOCHeading"/>
        <w:spacing w:after="280"/>
        <w:jc w:val="center"/>
        <w:pageBreakBefore/>
      </w:pPr>
      <w:r>
        <w:t>СОДЕРЖАНИЕ</w:t>
      </w:r>
    </w:p>
    <w:sdt>
      <w:sdtPr>
        <w:tag w:val="UITU_TOC"/>
        <w:docPartObj>
          <w:docPartGallery w:val="Table of Contents"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UITU1">
            <w:r>
              <w:t>РЕФЕРАТ</w:t>
            </w:r>
          </w:hyperlink>
          <w:r>
            <w:tab/>
          </w:r>
          <w:r>
            <w:t>2</w:t>
          </w:r>
        </w:p>
        <w:p>
          <w:pPr>
            <w:pStyle w:val="TOC1"/>
          </w:pPr>
          <w:hyperlink w:anchor="_TocUITU2">
            <w:r>
              <w:t>ВВЕДЕНИЕ</w:t>
            </w:r>
          </w:hyperlink>
          <w:r>
            <w:tab/>
          </w:r>
          <w:r>
            <w:t>4</w:t>
          </w:r>
        </w:p>
        <w:p>
          <w:pPr>
            <w:pStyle w:val="TOC1"/>
          </w:pPr>
          <w:hyperlink w:anchor="_TocUITU3">
            <w:r>
              <w:t>1 ВЫПОЛНЕНИЕ РАБОТЫ</w:t>
            </w:r>
          </w:hyperlink>
          <w:r>
            <w:tab/>
          </w:r>
          <w:r>
            <w:t>5</w:t>
          </w:r>
        </w:p>
        <w:p>
          <w:pPr>
            <w:pStyle w:val="TOC2"/>
          </w:pPr>
          <w:hyperlink w:anchor="_TocUITU4">
            <w:r>
              <w:t>1.1 Границы моделей и правила нотации</w:t>
            </w:r>
          </w:hyperlink>
          <w:r>
            <w:tab/>
          </w:r>
          <w:r>
            <w:t>5</w:t>
          </w:r>
        </w:p>
        <w:p>
          <w:pPr>
            <w:pStyle w:val="TOC2"/>
          </w:pPr>
          <w:hyperlink w:anchor="_TocUITU5">
            <w:r>
              <w:t>1.2 Аренда ВМ: контекст, A-0</w:t>
            </w:r>
          </w:hyperlink>
          <w:r>
            <w:tab/>
          </w:r>
          <w:r>
            <w:t>6</w:t>
          </w:r>
        </w:p>
        <w:p>
          <w:pPr>
            <w:pStyle w:val="TOC2"/>
          </w:pPr>
          <w:hyperlink w:anchor="_TocUITU6">
            <w:r>
              <w:t>1.3 Аренда ВМ: первый уровень, A0</w:t>
            </w:r>
          </w:hyperlink>
          <w:r>
            <w:tab/>
          </w:r>
          <w:r>
            <w:t>7</w:t>
          </w:r>
        </w:p>
        <w:p>
          <w:pPr>
            <w:pStyle w:val="TOC2"/>
          </w:pPr>
          <w:hyperlink w:anchor="_TocUITU7">
            <w:r>
              <w:t>1.4 Аренда ВМ: второй уровень, A1</w:t>
            </w:r>
          </w:hyperlink>
          <w:r>
            <w:tab/>
          </w:r>
          <w:r>
            <w:t>8</w:t>
          </w:r>
        </w:p>
        <w:p>
          <w:pPr>
            <w:pStyle w:val="TOC2"/>
          </w:pPr>
          <w:hyperlink w:anchor="_TocUITU8">
            <w:r>
              <w:t>1.5 Аренда ВМ: второй уровень, A2</w:t>
            </w:r>
          </w:hyperlink>
          <w:r>
            <w:tab/>
          </w:r>
          <w:r>
            <w:t>9</w:t>
          </w:r>
        </w:p>
        <w:p>
          <w:pPr>
            <w:pStyle w:val="TOC2"/>
          </w:pPr>
          <w:hyperlink w:anchor="_TocUITU9">
            <w:r>
              <w:t>1.6 Аренда ВМ: второй уровень, A3</w:t>
            </w:r>
          </w:hyperlink>
          <w:r>
            <w:tab/>
          </w:r>
          <w:r>
            <w:t>10</w:t>
          </w:r>
        </w:p>
        <w:p>
          <w:pPr>
            <w:pStyle w:val="TOC2"/>
          </w:pPr>
          <w:hyperlink w:anchor="_TocUITU10">
            <w:r>
              <w:t>1.7 Мониторинг: контекст, A-0</w:t>
            </w:r>
          </w:hyperlink>
          <w:r>
            <w:tab/>
          </w:r>
          <w:r>
            <w:t>11</w:t>
          </w:r>
        </w:p>
        <w:p>
          <w:pPr>
            <w:pStyle w:val="TOC2"/>
          </w:pPr>
          <w:hyperlink w:anchor="_TocUITU11">
            <w:r>
              <w:t>1.8 Мониторинг: первый уровень, A0</w:t>
            </w:r>
          </w:hyperlink>
          <w:r>
            <w:tab/>
          </w:r>
          <w:r>
            <w:t>12</w:t>
          </w:r>
        </w:p>
        <w:p>
          <w:pPr>
            <w:pStyle w:val="TOC2"/>
          </w:pPr>
          <w:hyperlink w:anchor="_TocUITU12">
            <w:r>
              <w:t>1.9 Мониторинг: второй уровень, A1</w:t>
            </w:r>
          </w:hyperlink>
          <w:r>
            <w:tab/>
          </w:r>
          <w:r>
            <w:t>13</w:t>
          </w:r>
        </w:p>
        <w:p>
          <w:pPr>
            <w:pStyle w:val="TOC2"/>
          </w:pPr>
          <w:hyperlink w:anchor="_TocUITU13">
            <w:r>
              <w:t>1.10 Мониторинг: второй уровень, A2</w:t>
            </w:r>
          </w:hyperlink>
          <w:r>
            <w:tab/>
          </w:r>
          <w:r>
            <w:t>14</w:t>
          </w:r>
        </w:p>
        <w:p>
          <w:pPr>
            <w:pStyle w:val="TOC2"/>
          </w:pPr>
          <w:hyperlink w:anchor="_TocUITU14">
            <w:r>
              <w:t>1.11 Мониторинг: второй уровень, A3</w:t>
            </w:r>
          </w:hyperlink>
          <w:r>
            <w:tab/>
          </w:r>
          <w:r>
            <w:t>15</w:t>
          </w:r>
        </w:p>
        <w:p>
          <w:pPr>
            <w:pStyle w:val="TOC2"/>
          </w:pPr>
          <w:hyperlink w:anchor="_TocUITU15">
            <w:r>
              <w:t>1.12 Проверка согласованности и результаты</w:t>
            </w:r>
          </w:hyperlink>
          <w:r>
            <w:tab/>
          </w:r>
          <w:r>
            <w:t>16</w:t>
          </w:r>
        </w:p>
        <w:p>
          <w:pPr>
            <w:pStyle w:val="TOC1"/>
          </w:pPr>
          <w:hyperlink w:anchor="_TocUITU16">
            <w:r>
              <w:t>ЗАКЛЮЧЕНИЕ</w:t>
            </w:r>
          </w:hyperlink>
          <w:r>
            <w:tab/>
          </w:r>
          <w:r>
            <w:t>17</w:t>
          </w:r>
        </w:p>
        <w:p>
          <w:pPr>
            <w:pStyle w:val="TOC1"/>
          </w:pPr>
          <w:hyperlink w:anchor="_TocUITU17">
            <w:r>
              <w:t>СПИСОК ИСПОЛЬЗОВАННЫХ ИСТОЧНИКОВ</w:t>
            </w:r>
          </w:hyperlink>
          <w:r>
            <w:tab/>
          </w:r>
          <w:r>
            <w:t>18</w:t>
          </w:r>
          <w:r>
            <w:fldChar w:fldCharType="end"/>
          </w:r>
        </w:p>
      </w:sdtContent>
    </w:sdt>
    <w:p>
      <w:pPr>
        <w:pStyle w:val="Heading1"/>
        <w:spacing w:after="280"/>
        <w:jc w:val="center"/>
      </w:pPr>
      <w:bookmarkStart w:id="102" w:name="_TocUITU2"/>
      <w:r>
        <w:t>ВВЕДЕНИЕ</w:t>
      </w:r>
      <w:bookmarkEnd w:id="102"/>
    </w:p>
    <w:p>
      <w:pPr>
        <w:keepNext w:val="0"/>
      </w:pPr>
      <w:r>
        <w:rPr>
          <w:b w:val="0"/>
          <w:sz w:val="28"/>
        </w:rPr>
        <w:t>Цель практической работы - построить модели предоставления двух услуг в IDEF0: контекст, первый уровень и второй уровень для каждого элемента первого уровня согласно заданию. Выбраны аренда виртуальных серверов и мониторинг с поддержкой - услуги разных линий, представленные в каталоге предприятия.</w:t>
      </w:r>
    </w:p>
    <w:p>
      <w:pPr>
        <w:keepNext w:val="0"/>
      </w:pPr>
      <w:r>
        <w:rPr>
          <w:b w:val="0"/>
          <w:sz w:val="28"/>
        </w:rPr>
        <w:t>Механизмы и технические зависимости основаны на сервисно-ресурсных моделях работы №3. Условия управления согласованы с разработанным SLA работы №4. Поэтому модели являются продолжением единого проекта, а не абстрактными примерами процессов.</w:t>
      </w:r>
    </w:p>
    <w:p>
      <w:pPr>
        <w:keepNext w:val="0"/>
      </w:pPr>
      <w:r>
        <w:rPr>
          <w:b w:val="0"/>
          <w:sz w:val="28"/>
        </w:rPr>
        <w:t>Приложенные XML-файлы охранного предприятия использованы только как образец прямоугольных блоков, ортогональных стрелок и расположения ICOM. Их предметная область в процессы «ТехноСервиса» не переносится. Для семантики функций и стрелок использовано определение IDEF0 в FIPS PUB 183. Оформление отчёта следует предоставленным рекомендациям.</w:t>
      </w:r>
    </w:p>
    <w:p>
      <w:pPr>
        <w:pStyle w:val="Heading1"/>
        <w:spacing w:after="280"/>
      </w:pPr>
      <w:bookmarkStart w:id="103" w:name="_TocUITU3"/>
      <w:r>
        <w:t>1 ВЫПОЛНЕНИЕ РАБОТЫ</w:t>
      </w:r>
      <w:bookmarkEnd w:id="103"/>
    </w:p>
    <w:p>
      <w:pPr>
        <w:pStyle w:val="Heading2"/>
        <w:spacing w:after="280"/>
      </w:pPr>
      <w:bookmarkStart w:id="104" w:name="_TocUITU4"/>
      <w:r>
        <w:t>1.1 Границы моделей и правила нотации</w:t>
      </w:r>
      <w:bookmarkEnd w:id="104"/>
    </w:p>
    <w:p>
      <w:pPr>
        <w:keepNext w:val="0"/>
      </w:pPr>
      <w:r>
        <w:rPr>
          <w:b w:val="0"/>
          <w:sz w:val="28"/>
        </w:rPr>
        <w:t>IDEF0 представляет деятельность как преобразование входов в выходы под управлением правил и с помощью механизмов. I (Input) входит слева; O (Output) выходит справа; C (Control) подходит сверху; M (Mechanism) - снизу. Названия блоков начинаются с глагола, а управляющие воздействия обозначены существительными: SLA, каталог, политика, пороги, регламент.</w:t>
      </w:r>
    </w:p>
    <w:p>
      <w:pPr>
        <w:keepNext w:val="0"/>
      </w:pPr>
      <w:r>
        <w:rPr>
          <w:b w:val="0"/>
          <w:sz w:val="28"/>
        </w:rPr>
        <w:t>Каждая услуга моделируется отдельным деревом. Контекст A−0 содержит единственный блок A0. Диаграмма A0 раскрывает его на A1, A2 и A3. Диаграммы A1, A2 и A3 содержат соответственно A11-A13, A21-A23 и A31-A33. Одинаковая нумерация в двух моделях различается префиксом файла vps или monitoring.</w:t>
      </w:r>
    </w:p>
    <w:p>
      <w:pPr>
        <w:keepNext/>
      </w:pPr>
      <w:r>
        <w:rPr>
          <w:b w:val="0"/>
          <w:sz w:val="28"/>
        </w:rPr>
        <w:t>Данные представлены в таблице 1.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1 - Полнота дерева декомпозиции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098"/>
        <w:gridCol w:w="2268"/>
        <w:gridCol w:w="2154"/>
      </w:tblGrid>
      <w:tr>
        <w:trPr>
          <w:tblHeader/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Услуга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Контекст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Первый уровень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Второй уровень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 виртуальных серверов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vps_Aminus0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vps_A0: A1, A2, A3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vps_A1, vps_A2, vps_A3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 и поддержка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monitoring_Aminus0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monitoring_A0: A1, A2, A3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monitoring_A1, monitoring_A2, monitoring_A3</w:t>
            </w:r>
          </w:p>
        </w:tc>
      </w:tr>
    </w:tbl>
    <w:p>
      <w:pPr>
        <w:keepNext w:val="0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C1 и M1 обозначают сгруппированные граничные потоки. В декомпозициях общие управления и механизмы разветвляются к дочерним функциям. Последовательные выходы блоков показаны как входы следующего этапа. Возврат при отрицательной проверке описан в тексте как условие повторного выполнения, без введения нового внешнего результата.</w:t>
      </w:r>
    </w:p>
    <w:p>
      <w:pPr>
        <w:pStyle w:val="Heading2"/>
        <w:pageBreakBefore/>
        <w:spacing w:after="280"/>
      </w:pPr>
      <w:bookmarkStart w:id="105" w:name="_TocUITU5"/>
      <w:r>
        <w:t>1.2 Аренда ВМ: контекст, A-0</w:t>
      </w:r>
      <w:bookmarkEnd w:id="105"/>
    </w:p>
    <w:p>
      <w:pPr>
        <w:keepNext/>
      </w:pPr>
      <w:r>
        <w:rPr>
          <w:b w:val="0"/>
          <w:sz w:val="28"/>
        </w:rPr>
        <w:t>Результат представлен на рисунке 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Aminus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1 - Аренда ВМ. Контекст, узел A-0</w:t>
      </w:r>
    </w:p>
    <w:p>
      <w:pPr>
        <w:keepNext w:val="0"/>
      </w:pPr>
      <w:r>
        <w:rPr>
          <w:b w:val="0"/>
          <w:sz w:val="28"/>
        </w:rPr>
        <w:t>Граница процесса начинается с поступления заявки и параметров ВМ и заканчивается передачей работающего ресурса и акта. Каталог задаёт допустимые комплекты и тариф, SLA - сроки взаимодействия, политика информационной безопасности - требования к изоляции и доступу. Инженер аренды использует vSphere, БД конфигураций и сервер-гипервизор. Запрос нового ресурса является плановым предоставлением услуги, а сбой уже выданной ВМ обрабатывается как инцидент по SLA.</w:t>
      </w:r>
    </w:p>
    <w:p>
      <w:pPr>
        <w:keepNext w:val="0"/>
      </w:pPr>
      <w:r>
        <w:rPr>
          <w:b w:val="0"/>
          <w:sz w:val="28"/>
        </w:rPr>
        <w:t>Модель отражает создание ценности для заказчика: согласованные вычислительные ресурсы становятся доступной виртуальной машиной. Отдельные продукты и серверы не подменяют функцию предоставления услуги.</w:t>
      </w:r>
    </w:p>
    <w:p>
      <w:pPr>
        <w:pStyle w:val="Heading2"/>
        <w:pageBreakBefore/>
        <w:spacing w:after="280"/>
      </w:pPr>
      <w:bookmarkStart w:id="106" w:name="_TocUITU6"/>
      <w:r>
        <w:t>1.3 Аренда ВМ: первый уровень, A0</w:t>
      </w:r>
      <w:bookmarkEnd w:id="106"/>
    </w:p>
    <w:p>
      <w:pPr>
        <w:keepNext/>
      </w:pPr>
      <w:r>
        <w:rPr>
          <w:b w:val="0"/>
          <w:sz w:val="28"/>
        </w:rPr>
        <w:t>Результат представлен на рисунке 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2 - Аренда ВМ. Первый уровень, узел A0</w:t>
      </w:r>
    </w:p>
    <w:p>
      <w:pPr>
        <w:keepNext w:val="0"/>
      </w:pPr>
      <w:r>
        <w:rPr>
          <w:b w:val="0"/>
          <w:sz w:val="28"/>
        </w:rPr>
        <w:t>Первый уровень разделён на три функции. A1 согласует состав ресурсов и коммерческие параметры; результатом служит спецификация. A2 превращает спецификацию в настроенную ВМ. A3 проверяет качество, подключает наблюдение и передаёт доступ заказчику. Спецификация и настроенная ВМ являются внутренними потоками; они не изменяют внешние границы модели.</w:t>
      </w:r>
    </w:p>
    <w:p>
      <w:pPr>
        <w:keepNext w:val="0"/>
      </w:pPr>
      <w:r>
        <w:rPr>
          <w:b w:val="0"/>
          <w:sz w:val="28"/>
        </w:rPr>
        <w:t>Разбиение отделяет решение о составе услуги от технического развёртывания и приёмки. Это позволяет закрепить проверки полноты заявки, выделения ресурсов и подтверждения результата за конкретными этапами.</w:t>
      </w:r>
    </w:p>
    <w:p>
      <w:pPr>
        <w:pStyle w:val="Heading2"/>
        <w:pageBreakBefore/>
        <w:spacing w:after="280"/>
      </w:pPr>
      <w:bookmarkStart w:id="107" w:name="_TocUITU7"/>
      <w:r>
        <w:t>1.4 Аренда ВМ: второй уровень, A1</w:t>
      </w:r>
      <w:bookmarkEnd w:id="107"/>
    </w:p>
    <w:p>
      <w:pPr>
        <w:keepNext/>
      </w:pPr>
      <w:r>
        <w:rPr>
          <w:b w:val="0"/>
          <w:sz w:val="28"/>
        </w:rPr>
        <w:t>Результат представлен на рисунке 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3 - Аренда ВМ. Второй уровень, узел A1</w:t>
      </w:r>
    </w:p>
    <w:p>
      <w:pPr>
        <w:keepNext w:val="0"/>
      </w:pPr>
      <w:r>
        <w:rPr>
          <w:b w:val="0"/>
          <w:sz w:val="28"/>
        </w:rPr>
        <w:t>A11 проверяет полноту заявки: число vCPU, объём RAM и SSD, назначение системы, доступ и контакт заказчика. A12 оценивает свободную ёмкость кластера и стоимость по сохранённому тарифу 500 руб. за месячный комплект ресурсов. A13 согласует спецификацию и разрешает начало развёртывания. Если данные неполны или ресурсов недостаточно, заявка возвращается на уточнение до подтверждения спецификации.</w:t>
      </w:r>
    </w:p>
    <w:p>
      <w:pPr>
        <w:keepNext w:val="0"/>
      </w:pPr>
      <w:r>
        <w:rPr>
          <w:b w:val="0"/>
          <w:sz w:val="28"/>
        </w:rPr>
        <w:t>Выход A13 совпадает с выходом родительского A1 - согласованной спецификацией. Данные vSphere и БД конфигураций помогают оценить доступный ресурс; SLA и каталог ограничивают обязательства исполнителя.</w:t>
      </w:r>
    </w:p>
    <w:p>
      <w:pPr>
        <w:pStyle w:val="Heading2"/>
        <w:pageBreakBefore/>
        <w:spacing w:after="280"/>
      </w:pPr>
      <w:bookmarkStart w:id="108" w:name="_TocUITU8"/>
      <w:r>
        <w:t>1.5 Аренда ВМ: второй уровень, A2</w:t>
      </w:r>
      <w:bookmarkEnd w:id="108"/>
    </w:p>
    <w:p>
      <w:pPr>
        <w:keepNext/>
      </w:pPr>
      <w:r>
        <w:rPr>
          <w:b w:val="0"/>
          <w:sz w:val="28"/>
        </w:rPr>
        <w:t>Результат представлен на рисунке 4.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4 - Аренда ВМ. Второй уровень, узел A2</w:t>
      </w:r>
    </w:p>
    <w:p>
      <w:pPr>
        <w:keepNext w:val="0"/>
      </w:pPr>
      <w:r>
        <w:rPr>
          <w:b w:val="0"/>
          <w:sz w:val="28"/>
        </w:rPr>
        <w:t>A21 резервирует вычислительную ёмкость, место на СХД и сетевые параметры. A22 создаёт виртуальную машину на гипервизоре по согласованному шаблону. A23 настраивает ОС, сетевой интерфейс и разрешённый доступ. Инженер аренды фиксирует конфигурацию в БД и сверяет её со спецификацией.</w:t>
      </w:r>
    </w:p>
    <w:p>
      <w:pPr>
        <w:keepNext w:val="0"/>
      </w:pPr>
      <w:r>
        <w:rPr>
          <w:b w:val="0"/>
          <w:sz w:val="28"/>
        </w:rPr>
        <w:t>Внутренние результаты - выделенный пул и созданная ВМ. После настройки на выходе получается именно «Настроенная ВМ», которая на уровне A0 передаётся функции A3; итоговая приёмка здесь ещё не выполняется.</w:t>
      </w:r>
    </w:p>
    <w:p>
      <w:pPr>
        <w:pStyle w:val="Heading2"/>
        <w:pageBreakBefore/>
        <w:spacing w:after="280"/>
      </w:pPr>
      <w:bookmarkStart w:id="109" w:name="_TocUITU9"/>
      <w:r>
        <w:t>1.6 Аренда ВМ: второй уровень, A3</w:t>
      </w:r>
      <w:bookmarkEnd w:id="109"/>
    </w:p>
    <w:p>
      <w:pPr>
        <w:keepNext/>
      </w:pPr>
      <w:r>
        <w:rPr>
          <w:b w:val="0"/>
          <w:sz w:val="28"/>
        </w:rPr>
        <w:t>Результат представлен на рисунке 5.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5 - Аренда ВМ. Второй уровень, узел A3</w:t>
      </w:r>
    </w:p>
    <w:p>
      <w:pPr>
        <w:keepNext w:val="0"/>
      </w:pPr>
      <w:r>
        <w:rPr>
          <w:b w:val="0"/>
          <w:sz w:val="28"/>
        </w:rPr>
        <w:t>A31 проверяет загрузку ОС, параметры ресурсов и сетевую изоляцию. A32 добавляет ВМ в наблюдение и проверяет поступление контрольных метрик. A33 передаёт доступ по согласованному защищённому каналу и оформляет акт. При отрицательной проверке инженер устраняет несоответствие до передачи результата.</w:t>
      </w:r>
    </w:p>
    <w:p>
      <w:pPr>
        <w:keepNext w:val="0"/>
      </w:pPr>
      <w:r>
        <w:rPr>
          <w:b w:val="0"/>
          <w:sz w:val="28"/>
        </w:rPr>
        <w:t>Внешний выход «Работающая ВМ и акт» полностью совпадает с выходом контекстной диаграммы. Связь с услугой мониторинга отражает зависимость из технического каталога; подключение к наблюдению не означает выполнение всех операций эксплуатации в процессе выдачи ВМ.</w:t>
      </w:r>
    </w:p>
    <w:p>
      <w:pPr>
        <w:pStyle w:val="Heading2"/>
        <w:pageBreakBefore/>
        <w:spacing w:after="280"/>
      </w:pPr>
      <w:bookmarkStart w:id="110" w:name="_TocUITU10"/>
      <w:r>
        <w:t>1.7 Мониторинг: контекст, A-0</w:t>
      </w:r>
      <w:bookmarkEnd w:id="110"/>
    </w:p>
    <w:p>
      <w:pPr>
        <w:keepNext/>
      </w:pPr>
      <w:r>
        <w:rPr>
          <w:b w:val="0"/>
          <w:sz w:val="28"/>
        </w:rPr>
        <w:t>Результат представлен на рисунке 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Aminus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6 - Мониторинг. Контекст, узел A-0</w:t>
      </w:r>
    </w:p>
    <w:p>
      <w:pPr>
        <w:keepNext w:val="0"/>
      </w:pPr>
      <w:r>
        <w:rPr>
          <w:b w:val="0"/>
          <w:sz w:val="28"/>
        </w:rPr>
        <w:t>Входами являются метрики наблюдаемых компонентов и обращения заказчика. SLA, пороги мониторинга и регламент изменений определяют правила обнаружения, приоритет и допустимые действия. Инженер мониторинга и системный администратор используют Zabbix либо Prometheus и БД метрик и инцидентов.</w:t>
      </w:r>
    </w:p>
    <w:p>
      <w:pPr>
        <w:keepNext w:val="0"/>
      </w:pPr>
      <w:r>
        <w:rPr>
          <w:b w:val="0"/>
          <w:sz w:val="28"/>
        </w:rPr>
        <w:t>Результат - восстановленная услуга и отчёт о действиях. Граница модели охватывает обнаружение сбоя, устранение и подтверждение результата. Плановое развитие функциональности относится к отдельному процессу изменения и не включается в восстановление автоматически.</w:t>
      </w:r>
    </w:p>
    <w:p>
      <w:pPr>
        <w:pStyle w:val="Heading2"/>
        <w:pageBreakBefore/>
        <w:spacing w:after="280"/>
      </w:pPr>
      <w:bookmarkStart w:id="111" w:name="_TocUITU11"/>
      <w:r>
        <w:t>1.8 Мониторинг: первый уровень, A0</w:t>
      </w:r>
      <w:bookmarkEnd w:id="111"/>
    </w:p>
    <w:p>
      <w:pPr>
        <w:keepNext/>
      </w:pPr>
      <w:r>
        <w:rPr>
          <w:b w:val="0"/>
          <w:sz w:val="28"/>
        </w:rPr>
        <w:t>Результат представлен на рисунке 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A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7 - Мониторинг. Первый уровень, узел A0</w:t>
      </w:r>
    </w:p>
    <w:p>
      <w:pPr>
        <w:keepNext w:val="0"/>
      </w:pPr>
      <w:r>
        <w:rPr>
          <w:b w:val="0"/>
          <w:sz w:val="28"/>
        </w:rPr>
        <w:t>A1 принимает метрики и обращения, проверяет влияние и создаёт инцидент. A2 диагностирует отказ и выполняет восстановление. A3 проверяет устойчивость результата, получает подтверждение заказчика и закрывает обращение с оценкой SLA. Регистрация и решение представлены внутренними потоками между блоками.</w:t>
      </w:r>
    </w:p>
    <w:p>
      <w:pPr>
        <w:keepNext w:val="0"/>
      </w:pPr>
      <w:r>
        <w:rPr>
          <w:b w:val="0"/>
          <w:sz w:val="28"/>
        </w:rPr>
        <w:t>Три этапа согласованы с жизненным циклом «Новая → В работе → Решена → Закрыта» работы №4. Временное ожидание допускается в ходе диагностики, но не приостанавливает SLA и не является самостоятельным внешним результатом.</w:t>
      </w:r>
    </w:p>
    <w:p>
      <w:pPr>
        <w:pStyle w:val="Heading2"/>
        <w:pageBreakBefore/>
        <w:spacing w:after="280"/>
      </w:pPr>
      <w:bookmarkStart w:id="112" w:name="_TocUITU12"/>
      <w:r>
        <w:t>1.9 Мониторинг: второй уровень, A1</w:t>
      </w:r>
      <w:bookmarkEnd w:id="112"/>
    </w:p>
    <w:p>
      <w:pPr>
        <w:keepNext/>
      </w:pPr>
      <w:r>
        <w:rPr>
          <w:b w:val="0"/>
          <w:sz w:val="28"/>
        </w:rPr>
        <w:t>Результат представлен на рисунке 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8 - Мониторинг. Второй уровень, узел A1</w:t>
      </w:r>
    </w:p>
    <w:p>
      <w:pPr>
        <w:keepNext w:val="0"/>
      </w:pPr>
      <w:r>
        <w:rPr>
          <w:b w:val="0"/>
          <w:sz w:val="28"/>
        </w:rPr>
        <w:t>A11 собирает метрики агентов и сообщения заказчика. A12 сопоставляет событие с порогами, отбрасывает ложный сигнал, определяет затронутую услугу и влияние. A13 создаёт карточку Service Desk, указывает приоритет и связанные КЕ. Для подтверждённого инцидента фиксируется время регистрации; технически исправное событие не превращается в инцидент без проверки.</w:t>
      </w:r>
    </w:p>
    <w:p>
      <w:pPr>
        <w:keepNext w:val="0"/>
      </w:pPr>
      <w:r>
        <w:rPr>
          <w:b w:val="0"/>
          <w:sz w:val="28"/>
        </w:rPr>
        <w:t>Выход A13 - зарегистрированный инцидент - идентичен выходу A1 на диаграмме первого уровня. Агенты сервера приложений и сервера БД и БД мониторинга соответствуют модели из практической №3.</w:t>
      </w:r>
    </w:p>
    <w:p>
      <w:pPr>
        <w:pStyle w:val="Heading2"/>
        <w:pageBreakBefore/>
        <w:spacing w:after="280"/>
      </w:pPr>
      <w:bookmarkStart w:id="113" w:name="_TocUITU13"/>
      <w:r>
        <w:t>1.10 Мониторинг: второй уровень, A2</w:t>
      </w:r>
      <w:bookmarkEnd w:id="113"/>
    </w:p>
    <w:p>
      <w:pPr>
        <w:keepNext/>
      </w:pPr>
      <w:r>
        <w:rPr>
          <w:b w:val="0"/>
          <w:sz w:val="28"/>
        </w:rPr>
        <w:t>Результат представлен на рисунке 9.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A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9 - Мониторинг. Второй уровень, узел A2</w:t>
      </w:r>
    </w:p>
    <w:p>
      <w:pPr>
        <w:keepNext w:val="0"/>
      </w:pPr>
      <w:r>
        <w:rPr>
          <w:b w:val="0"/>
          <w:sz w:val="28"/>
        </w:rPr>
        <w:t>A21 назначает системного администратора либо профильного инженера и фиксирует принятие. A22 анализирует журналы, конфигурации, зависимости и формирует план восстановления. A23 выполняет согласованные действия и документирует решение. При необходимости привлекается эксперт L3, но исходный срок SLA сохраняется.</w:t>
      </w:r>
    </w:p>
    <w:p>
      <w:pPr>
        <w:keepNext w:val="0"/>
      </w:pPr>
      <w:r>
        <w:rPr>
          <w:b w:val="0"/>
          <w:sz w:val="28"/>
        </w:rPr>
        <w:t>Внутренние результаты - принятая заявка и план восстановления. Выход родительского A2 включает восстановленную услугу и описание решения; подтверждение заказчика и окончательное закрытие выполняются следующим блоком A3.</w:t>
      </w:r>
    </w:p>
    <w:p>
      <w:pPr>
        <w:pStyle w:val="Heading2"/>
        <w:pageBreakBefore/>
        <w:spacing w:after="280"/>
      </w:pPr>
      <w:bookmarkStart w:id="114" w:name="_TocUITU14"/>
      <w:r>
        <w:t>1.11 Мониторинг: второй уровень, A3</w:t>
      </w:r>
      <w:bookmarkEnd w:id="114"/>
    </w:p>
    <w:p>
      <w:pPr>
        <w:keepNext/>
      </w:pPr>
      <w:r>
        <w:rPr>
          <w:b w:val="0"/>
          <w:sz w:val="28"/>
        </w:rPr>
        <w:t>Результат представлен на рисунке 10.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A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10 - Мониторинг. Второй уровень, узел A3</w:t>
      </w:r>
    </w:p>
    <w:p>
      <w:pPr>
        <w:keepNext w:val="0"/>
      </w:pPr>
      <w:r>
        <w:rPr>
          <w:b w:val="0"/>
          <w:sz w:val="28"/>
        </w:rPr>
        <w:t>A31 проверяет контрольные метрики и доступность после исправления. A32 получает подтверждение заказчика; при несогласии обращение возвращается в работу с сохранением истории. A33 закрывает инцидент, сравнивает фактическое время с целевым и формирует запись для отчётности.</w:t>
      </w:r>
    </w:p>
    <w:p>
      <w:pPr>
        <w:keepNext w:val="0"/>
      </w:pPr>
      <w:r>
        <w:rPr>
          <w:b w:val="0"/>
          <w:sz w:val="28"/>
        </w:rPr>
        <w:t>Выход A33 совпадает с внешним выходом контекста: «Восстановленная услуга; отчёт». Наличие показателя SLA не подменяет анализ причины; повторные сбои передаются на анализ проблем и план улучшения, который находится за границей данной модели.</w:t>
      </w:r>
    </w:p>
    <w:p>
      <w:pPr>
        <w:pStyle w:val="Heading2"/>
        <w:pageBreakBefore/>
        <w:spacing w:after="280"/>
      </w:pPr>
      <w:bookmarkStart w:id="115" w:name="_TocUITU15"/>
      <w:r>
        <w:t>1.12 Проверка согласованности и результаты</w:t>
      </w:r>
      <w:bookmarkEnd w:id="115"/>
    </w:p>
    <w:p>
      <w:pPr>
        <w:keepNext w:val="0"/>
      </w:pPr>
      <w:r>
        <w:rPr>
          <w:b w:val="0"/>
          <w:sz w:val="28"/>
        </w:rPr>
        <w:t>Для каждого дерева проверено наличие трёх отдельных диаграмм второго уровня и соответствие граничных стрелок родительскому блоку. В таблице показано, какие внешние и межблочные результаты сохраняются при декомпозиции.</w:t>
      </w:r>
    </w:p>
    <w:p>
      <w:pPr>
        <w:keepNext/>
      </w:pPr>
      <w:r>
        <w:rPr>
          <w:b w:val="0"/>
          <w:sz w:val="28"/>
        </w:rPr>
        <w:t>Данные представлены в таблице 2.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2 - Балансировка входов и выходов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85"/>
        <w:gridCol w:w="3798"/>
      </w:tblGrid>
      <w:tr>
        <w:trPr>
          <w:tblHeader/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Модель и узел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Вход дочерней диаграммы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Выход дочерней диаграммы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Аренда, A0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Заявка и параметры ВМ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Работающая ВМ и акт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Аренда, A1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Заявка и параметры ВМ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Согласованная спецификация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Аренда, A2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Согласованная спецификация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Настроенная ВМ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Аренда, A3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Настроенная ВМ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Работающая ВМ и акт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Мониторинг, A0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Метрики и обращения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Восстановленная услуга; отчёт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Мониторинг, A1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Метрики и обращения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Зарегистрированный инцидент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Мониторинг, A2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Зарегистрированный инцидент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Решение и восстановленная услуга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Мониторинг, A3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Решение и восстановленная услуга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Восстановленная услуга; отчёт</w:t>
            </w:r>
          </w:p>
        </w:tc>
      </w:tr>
    </w:tbl>
    <w:p>
      <w:pPr>
        <w:keepNext w:val="0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Управления C1 и механизмы M1 на втором уровне совпадают с родительскими группами и распределены по функциям. Все функции имеют конкретные действия и результаты. В двух деревьях представлены 2 контекстных блока, 6 блоков первого уровня и 18 блоков второго уровня.</w:t>
      </w:r>
    </w:p>
    <w:p>
      <w:pPr>
        <w:keepNext w:val="0"/>
      </w:pPr>
      <w:r>
        <w:rPr>
          <w:b w:val="0"/>
          <w:sz w:val="28"/>
        </w:rPr>
        <w:t>Редактируемые.drawio, SVG и PNG сохранены в каталоге diagrams. Охранные услуги из примеров отсутствуют. Карточка инцидента и расчёт сроков из работы №6 автоматизируют отдельные операции процесса мониторинга; развёртывание ВМ, сбор метрик и выполнение инфраструктурных команд остаются действиями профильных систем и специалистов.</w:t>
      </w:r>
    </w:p>
    <w:p>
      <w:pPr>
        <w:pStyle w:val="Heading1"/>
        <w:spacing w:after="280"/>
        <w:jc w:val="center"/>
      </w:pPr>
      <w:bookmarkStart w:id="116" w:name="_TocUITU16"/>
      <w:r>
        <w:t>ЗАКЛЮЧЕНИЕ</w:t>
      </w:r>
      <w:bookmarkEnd w:id="116"/>
    </w:p>
    <w:p>
      <w:pPr>
        <w:keepNext w:val="0"/>
      </w:pPr>
      <w:r>
        <w:rPr>
          <w:b w:val="0"/>
          <w:sz w:val="28"/>
        </w:rPr>
        <w:t>Построены функциональные модели аренды виртуальных серверов и мониторинга с поддержкой для ООО «ТехноСервис». Для каждой услуги разработаны контекстная диаграмма, декомпозиция первого уровня на три функции и отдельная декомпозиция второго уровня для каждой функции. Всего получено десять диаграмм.</w:t>
      </w:r>
    </w:p>
    <w:p>
      <w:pPr>
        <w:keepNext w:val="0"/>
      </w:pPr>
      <w:r>
        <w:rPr>
          <w:b w:val="0"/>
          <w:sz w:val="28"/>
        </w:rPr>
        <w:t>Согласованы внешние границы и межблочные потоки, сохранены технические ресурсы исходных моделей и условия SLA. Функции описывают реальные действия по согласованию, развёртыванию, диагностике, восстановлению и приёмке услуги. Исходники позволяют изменить модели без перерисовки изображений.</w:t>
      </w:r>
    </w:p>
    <w:p>
      <w:pPr>
        <w:keepNext w:val="0"/>
      </w:pPr>
      <w:r>
        <w:rPr>
          <w:b w:val="0"/>
          <w:sz w:val="28"/>
        </w:rPr>
        <w:t>Результат показывает контрольные точки и ответственность специалистов и создаёт основу для автоматизации управления обращениями. Построение моделей не означает фактическое развёртывание vSphere, Zabbix или резервной инфраструктуры: они выступают ресурсами описываемого предприятия.</w:t>
      </w:r>
    </w:p>
    <w:p>
      <w:pPr>
        <w:pStyle w:val="Heading1"/>
        <w:spacing w:after="280"/>
        <w:jc w:val="center"/>
      </w:pPr>
      <w:bookmarkStart w:id="117" w:name="_TocUITU17"/>
      <w:r>
        <w:t>СПИСОК ИСПОЛЬЗОВАННЫХ ИСТОЧНИКОВ</w:t>
      </w:r>
      <w:bookmarkEnd w:id="117"/>
    </w:p>
    <w:p>
      <w:pPr>
        <w:keepNext w:val="0"/>
      </w:pPr>
      <w:r>
        <w:rPr>
          <w:b w:val="0"/>
          <w:sz w:val="28"/>
        </w:rPr>
        <w:t>1. Управление информационно-технологическими услугами. Практическая работа №5: Методология функционального моделирования IDEF0: методические указания. - Учебный материал, предоставленный к заданию. - Текст: электронный.</w:t>
      </w:r>
    </w:p>
    <w:p>
      <w:pPr>
        <w:keepNext w:val="0"/>
      </w:pPr>
      <w:r>
        <w:rPr>
          <w:b w:val="0"/>
          <w:sz w:val="28"/>
        </w:rPr>
        <w:t>2. Тарасов, А. М. Предприятие как субъект оказания ИТ-услуг: отчёт по практической работе №1 / А. М. Тарасов, Д. М. Дементиевский, Б. М. Тыцкий. - Москва: РТУ МИРЭА, 2026. - 6 с. - Файл prakt1.pdf. - Текст: электронный.</w:t>
      </w:r>
    </w:p>
    <w:p>
      <w:pPr>
        <w:keepNext w:val="0"/>
      </w:pPr>
      <w:r>
        <w:rPr>
          <w:b w:val="0"/>
          <w:sz w:val="28"/>
        </w:rPr>
        <w:t>3. Тарасов, А. М. Методология обеспечения ценности ИТ-услуг: отчёт по практической работе №3 / А. М. Тарасов, Д. М. Дементиевский, Б. М. Тыцкий. - Москва: РТУ МИРЭА, 2026. - 9 с. - Файл prakt3.pdf. - Текст: электронный.</w:t>
      </w:r>
    </w:p>
    <w:p>
      <w:pPr>
        <w:keepNext w:val="0"/>
      </w:pPr>
      <w:r>
        <w:rPr>
          <w:b w:val="0"/>
          <w:sz w:val="28"/>
        </w:rPr>
        <w:t>4. Тарасов, А. М. Соглашение об уровне обслуживания: отчёт по практической работе №4 / А. М. Тарасов, Д. М. Дементиевский, Б. М. Тыцкий. - Москва: РТУ МИРЭА, 2026. - Файл «УИТУ_Практическая_4_ТехноСервис.docx». - Текст: электронный.</w:t>
      </w:r>
    </w:p>
    <w:p>
      <w:pPr>
        <w:keepNext w:val="0"/>
      </w:pPr>
      <w:r>
        <w:rPr>
          <w:b w:val="0"/>
          <w:sz w:val="28"/>
        </w:rPr>
        <w:t>5. Примеры диаграмм IDEF0: 01_A1_context.xml, 02_A1_decomposition.xml, 03_A1_completeness.xml. - Материалы diagrams.net, предоставленные к заданию. - Изображение: электронное.</w:t>
      </w:r>
    </w:p>
    <w:p>
      <w:pPr>
        <w:keepNext w:val="0"/>
      </w:pPr>
      <w:r>
        <w:rPr>
          <w:b w:val="0"/>
          <w:sz w:val="28"/>
        </w:rPr>
        <w:t>6. Integration Definition for Function Modeling (IDEF0): FIPS PUB 183. - Gaithersburg: National Institute of Standards and Technology, 1993. - URL: https://nvlpubs.nist.gov/nistpubs/Legacy/FIPS/fipspub183.pdf (дата обращения: 22.10.2026). - Текст: электронный.</w:t>
      </w:r>
    </w:p>
    <w:p>
      <w:pPr>
        <w:keepNext w:val="0"/>
      </w:pPr>
      <w:r>
        <w:rPr>
          <w:b w:val="0"/>
          <w:sz w:val="28"/>
        </w:rPr>
        <w:t>7. Краткие рекомендации по ГОСТ 7.32-2017. Отчёт о научно-исследовательской работе. Структура и правила оформления. - Учебный материал, предоставленный к заданию. - 19 с. - Текст: электронный.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0" w:line="24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0" w:line="360" w:lineRule="auto"/>
      <w:ind w:firstLine="709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0" w:firstLine="0"/>
    </w:pPr>
    <w:rPr>
      <w:rFonts w:ascii="Times New Roman" w:hAnsi="Times New Roman"/>
      <w:color w:val="000000"/>
      <w:sz w:val="28"/>
    </w:rPr>
  </w:style>
  <w:style w:type="paragraph" w:customStyle="1" w:styleId="TOC2">
    <w:name w:val="TOC 2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283" w:firstLine="0"/>
    </w:pPr>
    <w:rPr>
      <w:rFonts w:ascii="Times New Roman" w:hAnsi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№5. Методология функционального моделирования IDEF0</dc:title>
  <dc:subject>Управление информационно-технологическими услугами. ООО «ТехноСервис»</dc:subject>
  <dc:creator>Тарасов Арсений Максимович; Дементиевский Дмитрий Максимович; Тыцкий Богдан Максимович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