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240" w:lineRule="auto"/>
        <w:ind w:firstLine="0"/>
        <w:jc w:val="center"/>
      </w:pPr>
      <w:r>
        <w:rPr>
          <w:b w:val="0"/>
          <w:sz w:val="28"/>
        </w:rPr>
      </w:r>
      <w:r>
        <w:drawing>
          <wp:inline xmlns:a="http://schemas.openxmlformats.org/drawingml/2006/main" xmlns:pic="http://schemas.openxmlformats.org/drawingml/2006/picture">
            <wp:extent cx="864000" cy="864000"/>
            <wp:docPr id="1" name="Picture 1" descr="Эмблема РТУ МИРЭ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rea-emble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ind w:firstLine="0"/>
        <w:jc w:val="center"/>
      </w:pPr>
      <w:r>
        <w:rPr>
          <w:b w:val="0"/>
          <w:sz w:val="28"/>
        </w:rPr>
        <w:t>МИНИСТЕРСТВО НАУКИ И ВЫСШЕГО ОБРАЗОВАНИЯ РОССИЙСКОЙ ФЕДЕРАЦИИ</w:t>
      </w:r>
    </w:p>
    <w:p>
      <w:pPr>
        <w:keepNext w:val="0"/>
        <w:ind w:firstLine="0"/>
        <w:jc w:val="center"/>
      </w:pPr>
      <w:r>
        <w:rPr>
          <w:b w:val="0"/>
          <w:sz w:val="28"/>
        </w:rPr>
        <w:t>Федеральное государственное бюджетное образовательное учреждение высшего образования</w:t>
      </w:r>
    </w:p>
    <w:p>
      <w:pPr>
        <w:keepNext w:val="0"/>
        <w:ind w:firstLine="0"/>
        <w:jc w:val="center"/>
      </w:pPr>
      <w:r>
        <w:rPr>
          <w:b/>
          <w:sz w:val="28"/>
        </w:rPr>
        <w:t>«МИРЭА - Российский технологический университет»</w:t>
      </w:r>
    </w:p>
    <w:p>
      <w:pPr>
        <w:keepNext w:val="0"/>
        <w:ind w:firstLine="0"/>
        <w:jc w:val="center"/>
        <w:pBdr>
          <w:bottom w:val="double" w:sz="6" w:space="8" w:color="000000"/>
        </w:pBdr>
      </w:pPr>
      <w:r>
        <w:rPr>
          <w:b/>
          <w:sz w:val="28"/>
        </w:rPr>
        <w:t>РТУ МИРЭА</w:t>
      </w:r>
    </w:p>
    <w:p>
      <w:pPr>
        <w:keepNext w:val="0"/>
      </w:pPr>
      <w:r>
        <w:rPr>
          <w:b w:val="0"/>
          <w:sz w:val="28"/>
        </w:rPr>
      </w:r>
    </w:p>
    <w:p>
      <w:pPr>
        <w:keepNext w:val="0"/>
        <w:ind w:firstLine="0"/>
        <w:jc w:val="center"/>
      </w:pPr>
      <w:r>
        <w:rPr>
          <w:b w:val="0"/>
          <w:sz w:val="28"/>
        </w:rPr>
        <w:t>Институт информационных технологий (ИТ)</w:t>
      </w:r>
    </w:p>
    <w:p>
      <w:pPr>
        <w:keepNext w:val="0"/>
        <w:ind w:firstLine="0"/>
        <w:jc w:val="center"/>
      </w:pPr>
      <w:r>
        <w:rPr>
          <w:b w:val="0"/>
          <w:sz w:val="28"/>
        </w:rPr>
        <w:t>Кафедра корпоративных информационных систем (КИС)</w:t>
      </w:r>
    </w:p>
    <w:p>
      <w:pPr>
        <w:keepNext w:val="0"/>
        <w:ind w:firstLine="0"/>
        <w:jc w:val="center"/>
      </w:pPr>
      <w:r>
        <w:rPr>
          <w:b/>
          <w:sz w:val="28"/>
        </w:rPr>
        <w:t>ОТЧЕТ ПО ПРАКТИЧЕСКОЙ РАБОТЕ №4</w:t>
      </w:r>
    </w:p>
    <w:p>
      <w:pPr>
        <w:keepNext w:val="0"/>
        <w:ind w:firstLine="0"/>
        <w:jc w:val="center"/>
      </w:pPr>
      <w:r>
        <w:rPr>
          <w:b/>
          <w:sz w:val="28"/>
        </w:rPr>
        <w:t>по дисциплине</w:t>
      </w:r>
    </w:p>
    <w:p>
      <w:pPr>
        <w:keepNext w:val="0"/>
        <w:ind w:firstLine="0"/>
        <w:jc w:val="center"/>
      </w:pPr>
      <w:r>
        <w:rPr>
          <w:b/>
          <w:sz w:val="28"/>
        </w:rPr>
        <w:t>«Управление информационно-технологическими услугами»</w:t>
      </w:r>
    </w:p>
    <w:p>
      <w:pPr>
        <w:keepNext w:val="0"/>
      </w:pPr>
      <w:r>
        <w:rPr>
          <w:b w:val="0"/>
          <w:sz w:val="2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72"/>
        <w:gridCol w:w="5783"/>
      </w:tblGrid>
      <w:tr>
        <w:trPr>
          <w:cantSplit/>
        </w:trPr>
        <w:tc>
          <w:tcPr>
            <w:tcW w:type="dxa" w:w="3572"/>
          </w:tcPr>
          <w:p>
            <w:pPr>
              <w:spacing w:line="288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28"/>
              </w:rPr>
              <w:t>Выполнили студенты</w:t>
              <w:br/>
              <w:t>группы ИКБО-74-23</w:t>
            </w:r>
          </w:p>
        </w:tc>
        <w:tc>
          <w:tcPr>
            <w:tcW w:type="dxa" w:w="5783"/>
          </w:tcPr>
          <w:p>
            <w:pPr>
              <w:spacing w:line="288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28"/>
              </w:rPr>
              <w:t>Тарасов Арсений Максимович</w:t>
              <w:br/>
              <w:t>Дементиевский Дмитрий Максимович</w:t>
              <w:br/>
              <w:t>Тыцкий Богдан Максимович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line="288" w:lineRule="auto" w:before="300" w:after="0"/>
              <w:ind w:firstLine="0"/>
              <w:jc w:val="center"/>
            </w:pPr>
            <w:r>
              <w:rPr>
                <w:rFonts w:ascii="Times New Roman" w:hAnsi="Times New Roman"/>
                <w:sz w:val="28"/>
              </w:rPr>
              <w:t>Принял преподаватель</w:t>
            </w:r>
          </w:p>
        </w:tc>
        <w:tc>
          <w:tcPr>
            <w:tcW w:type="dxa" w:w="5783"/>
          </w:tcPr>
          <w:p>
            <w:pPr>
              <w:spacing w:line="288" w:lineRule="auto" w:before="300" w:after="0"/>
              <w:ind w:firstLine="0"/>
              <w:jc w:val="center"/>
            </w:pPr>
            <w:r>
              <w:rPr>
                <w:rFonts w:ascii="Times New Roman" w:hAnsi="Times New Roman"/>
                <w:sz w:val="28"/>
              </w:rPr>
              <w:t>ассистент Демидов Н.А.</w:t>
            </w:r>
          </w:p>
        </w:tc>
      </w:tr>
    </w:tbl>
    <w:p>
      <w:pPr>
        <w:keepNext w:val="0"/>
        <w:spacing w:before="680"/>
        <w:ind w:firstLine="0"/>
        <w:jc w:val="center"/>
      </w:pPr>
      <w:r>
        <w:rPr>
          <w:b w:val="0"/>
          <w:sz w:val="28"/>
        </w:rPr>
        <w:t>Москва 2026</w:t>
      </w:r>
    </w:p>
    <w:p>
      <w:pPr>
        <w:pStyle w:val="TOCHeading"/>
        <w:spacing w:after="280"/>
        <w:ind w:firstLine="0"/>
        <w:jc w:val="center"/>
        <w:pageBreakBefore/>
      </w:pPr>
      <w:r>
        <w:t>СОДЕРЖАНИЕ</w:t>
      </w:r>
    </w:p>
    <w:sdt>
      <w:sdtPr>
        <w:tag w:val="UITU_TOC"/>
        <w:docPartObj>
          <w:docPartGallery w:val="Table of Contents"/>
          <w:docPartUnique/>
        </w:docPartObj>
      </w:sdtPr>
      <w:sdtContent>
        <w:p>
          <w:pPr>
            <w:pStyle w:val="TOC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UITU1">
            <w:r>
              <w:t>ЦЕЛЬ ПРАКТИЧЕСКОЙ РАБОТЫ</w:t>
            </w:r>
            <w:r>
              <w:tab/>
            </w:r>
            <w:r>
              <w:t>3</w:t>
            </w:r>
          </w:hyperlink>
        </w:p>
        <w:p>
          <w:pPr>
            <w:pStyle w:val="TOC1"/>
          </w:pPr>
          <w:hyperlink w:anchor="_TocUITU2">
            <w:r>
              <w:t>ВЫПОЛНЕНИЕ РАБОТЫ</w:t>
            </w:r>
            <w:r>
              <w:tab/>
            </w:r>
            <w:r>
              <w:t>4</w:t>
            </w:r>
          </w:hyperlink>
        </w:p>
        <w:p>
          <w:pPr>
            <w:pStyle w:val="TOC2"/>
          </w:pPr>
          <w:hyperlink w:anchor="_TocUITU3">
            <w:r>
              <w:t>Соглашение об уровне сервиса (SLA)</w:t>
            </w:r>
            <w:r>
              <w:tab/>
            </w:r>
            <w:r>
              <w:t>4</w:t>
            </w:r>
          </w:hyperlink>
        </w:p>
        <w:p>
          <w:pPr>
            <w:pStyle w:val="TOC3"/>
          </w:pPr>
          <w:hyperlink w:anchor="_TocUITU4">
            <w:r>
              <w:t>1. Границы оказания услуг</w:t>
            </w:r>
            <w:r>
              <w:tab/>
            </w:r>
            <w:r>
              <w:t>4</w:t>
            </w:r>
          </w:hyperlink>
        </w:p>
        <w:p>
          <w:pPr>
            <w:pStyle w:val="TOC3"/>
          </w:pPr>
          <w:hyperlink w:anchor="_TocUITU5">
            <w:r>
              <w:t>2. Список, состав и стоимость предоставляемых услуг</w:t>
            </w:r>
            <w:r>
              <w:tab/>
            </w:r>
            <w:r>
              <w:t>5</w:t>
            </w:r>
          </w:hyperlink>
        </w:p>
        <w:p>
          <w:pPr>
            <w:pStyle w:val="TOC3"/>
          </w:pPr>
          <w:hyperlink w:anchor="_TocUITU6">
            <w:r>
              <w:t>3. Единица измерения стоимости услуг Исполнителя</w:t>
            </w:r>
            <w:r>
              <w:tab/>
            </w:r>
            <w:r>
              <w:t>5</w:t>
            </w:r>
          </w:hyperlink>
        </w:p>
        <w:p>
          <w:pPr>
            <w:pStyle w:val="TOC3"/>
          </w:pPr>
          <w:hyperlink w:anchor="_TocUITU7">
            <w:r>
              <w:t>4. Применяемый инструментарий</w:t>
            </w:r>
            <w:r>
              <w:tab/>
            </w:r>
            <w:r>
              <w:t>6</w:t>
            </w:r>
          </w:hyperlink>
        </w:p>
        <w:p>
          <w:pPr>
            <w:pStyle w:val="TOC3"/>
          </w:pPr>
          <w:hyperlink w:anchor="_TocUITU8">
            <w:r>
              <w:t>5. Приоритеты задач</w:t>
            </w:r>
            <w:r>
              <w:tab/>
            </w:r>
            <w:r>
              <w:t>7</w:t>
            </w:r>
          </w:hyperlink>
        </w:p>
        <w:p>
          <w:pPr>
            <w:pStyle w:val="TOC3"/>
          </w:pPr>
          <w:hyperlink w:anchor="_TocUITU9">
            <w:r>
              <w:t>6. Выполнение задач в рамках одного приоритета</w:t>
            </w:r>
            <w:r>
              <w:tab/>
            </w:r>
            <w:r>
              <w:t>7</w:t>
            </w:r>
          </w:hyperlink>
        </w:p>
        <w:p>
          <w:pPr>
            <w:pStyle w:val="TOC3"/>
          </w:pPr>
          <w:hyperlink w:anchor="_TocUITU10">
            <w:r>
              <w:t>7. Определение приоритетов Заказчиком</w:t>
            </w:r>
            <w:r>
              <w:tab/>
            </w:r>
            <w:r>
              <w:t>8</w:t>
            </w:r>
          </w:hyperlink>
        </w:p>
        <w:p>
          <w:pPr>
            <w:pStyle w:val="TOC3"/>
          </w:pPr>
          <w:hyperlink w:anchor="_TocUITU11">
            <w:r>
              <w:t>8. Уровни поддержки, сроки реакции и решения</w:t>
            </w:r>
            <w:r>
              <w:tab/>
            </w:r>
            <w:r>
              <w:t>8</w:t>
            </w:r>
          </w:hyperlink>
        </w:p>
        <w:p>
          <w:pPr>
            <w:pStyle w:val="TOC3"/>
          </w:pPr>
          <w:hyperlink w:anchor="_TocUITU12">
            <w:r>
              <w:t>9. Статусы обращений и их значения</w:t>
            </w:r>
            <w:r>
              <w:tab/>
            </w:r>
            <w:r>
              <w:t>9</w:t>
            </w:r>
          </w:hyperlink>
        </w:p>
        <w:p>
          <w:pPr>
            <w:pStyle w:val="TOC3"/>
          </w:pPr>
          <w:hyperlink w:anchor="_TocUITU13">
            <w:r>
              <w:t>10. Работа с распределенными проектами</w:t>
            </w:r>
            <w:r>
              <w:tab/>
            </w:r>
            <w:r>
              <w:t>10</w:t>
            </w:r>
          </w:hyperlink>
        </w:p>
        <w:p>
          <w:pPr>
            <w:pStyle w:val="TOC3"/>
          </w:pPr>
          <w:hyperlink w:anchor="_TocUITU14">
            <w:r>
              <w:t>11. Порядок выполнения обращений</w:t>
            </w:r>
            <w:r>
              <w:tab/>
            </w:r>
            <w:r>
              <w:t>10</w:t>
            </w:r>
          </w:hyperlink>
        </w:p>
        <w:p>
          <w:pPr>
            <w:pStyle w:val="TOC1"/>
          </w:pPr>
          <w:hyperlink w:anchor="_TocUITU15">
            <w:r>
              <w:t>Вывод по работе</w:t>
            </w:r>
            <w:r>
              <w:tab/>
            </w:r>
            <w:r>
              <w:t>12</w:t>
            </w:r>
          </w:hyperlink>
          <w:r>
            <w:fldChar w:fldCharType="end"/>
          </w:r>
        </w:p>
      </w:sdtContent>
    </w:sdt>
    <w:p>
      <w:pPr>
        <w:pStyle w:val="Heading1"/>
        <w:spacing w:after="280"/>
      </w:pPr>
      <w:bookmarkStart w:id="101" w:name="_TocUITU1"/>
      <w:r>
        <w:t>ЦЕЛЬ ПРАКТИЧЕСКОЙ РАБОТЫ</w:t>
      </w:r>
      <w:bookmarkEnd w:id="101"/>
    </w:p>
    <w:p>
      <w:pPr>
        <w:keepNext w:val="0"/>
      </w:pPr>
      <w:r>
        <w:rPr>
          <w:b w:val="0"/>
          <w:sz w:val="28"/>
        </w:rPr>
        <w:t>Цель работы: составить соглашение об уровне сервиса для ИТ-услуг ООО «ТехноСервис», определив границы обслуживания, состав и стоимость услуг, приоритеты, сроки реакции и решения, ответственность участников и порядок обработки обращений.</w:t>
      </w:r>
    </w:p>
    <w:p>
      <w:pPr>
        <w:pStyle w:val="Heading1"/>
        <w:spacing w:after="280"/>
      </w:pPr>
      <w:bookmarkStart w:id="102" w:name="_TocUITU2"/>
      <w:r>
        <w:t>ВЫПОЛНЕНИЕ РАБОТЫ</w:t>
      </w:r>
      <w:bookmarkEnd w:id="102"/>
    </w:p>
    <w:p>
      <w:pPr>
        <w:pStyle w:val="Heading2"/>
        <w:spacing w:after="280"/>
      </w:pPr>
      <w:bookmarkStart w:id="103" w:name="_TocUITU3"/>
      <w:r>
        <w:t>Соглашение об уровне сервиса (SLA)</w:t>
      </w:r>
      <w:bookmarkEnd w:id="103"/>
    </w:p>
    <w:p>
      <w:pPr>
        <w:keepNext w:val="0"/>
      </w:pPr>
      <w:r>
        <w:rPr>
          <w:b w:val="0"/>
          <w:sz w:val="28"/>
        </w:rPr>
        <w:t>Версия: 1.0. Номер: SLA-TS-2026.</w:t>
      </w:r>
    </w:p>
    <w:p>
      <w:pPr>
        <w:keepNext w:val="0"/>
      </w:pPr>
      <w:r>
        <w:rPr>
          <w:b w:val="0"/>
          <w:sz w:val="28"/>
        </w:rPr>
        <w:t>Дата документа: 22.10.2026.</w:t>
      </w:r>
    </w:p>
    <w:p>
      <w:pPr>
        <w:keepNext w:val="0"/>
      </w:pPr>
      <w:r>
        <w:rPr>
          <w:b w:val="0"/>
          <w:sz w:val="28"/>
        </w:rPr>
        <w:t>Поставщик услуг: ООО «ТехноСервис», основано 15 марта 2020 года.</w:t>
      </w:r>
    </w:p>
    <w:p>
      <w:pPr>
        <w:keepNext w:val="0"/>
      </w:pPr>
      <w:r>
        <w:rPr>
          <w:b w:val="0"/>
          <w:sz w:val="28"/>
        </w:rPr>
        <w:t>Заказчик: организация, использующая услуги по согласованной спецификации. Представитель заказчика - уполномоченный сотрудник с зарегистрированной учётной записью.</w:t>
      </w:r>
    </w:p>
    <w:p>
      <w:pPr>
        <w:pStyle w:val="Heading3"/>
        <w:spacing w:after="280"/>
      </w:pPr>
      <w:bookmarkStart w:id="104" w:name="_TocUITU4"/>
      <w:r>
        <w:t>1. Границы оказания услуг</w:t>
      </w:r>
      <w:bookmarkEnd w:id="104"/>
    </w:p>
    <w:p>
      <w:pPr>
        <w:keepNext w:val="0"/>
      </w:pPr>
      <w:r>
        <w:rPr>
          <w:b w:val="0"/>
          <w:sz w:val="28"/>
        </w:rPr>
        <w:t>Исполнитель предоставляет вычислительные ресурсы, лицензии и облачное хранилище, выполняет администрирование, мониторинг, поддержку и резервное копирование. Услуги относятся к двум линиям: «Доступ/аренда» и «Управление». Местоположение ресурсов, допустимые способы доступа и состав обслуживания фиксируются в спецификации. Географическое положение заказчика не ограничивает приём обращений при наличии канала связи.</w:t>
      </w:r>
    </w:p>
    <w:p>
      <w:pPr>
        <w:keepNext w:val="0"/>
      </w:pPr>
      <w:r>
        <w:rPr>
          <w:b w:val="0"/>
          <w:sz w:val="28"/>
        </w:rPr>
        <w:t>Приём обращений и поддержка выполняются круглосуточно, 24 часа в сутки, 7 дней в неделю, включая выходные и праздники. Все сроки измеряются в календарных минутах и часах. Журнал хранится в UTC; уведомления и интерфейс показывают московское время (UTC+3).</w:t>
      </w:r>
    </w:p>
    <w:p>
      <w:pPr>
        <w:keepNext w:val="0"/>
      </w:pPr>
      <w:r>
        <w:rPr>
          <w:b w:val="0"/>
          <w:sz w:val="28"/>
        </w:rPr>
        <w:t>Базовое обслуживание включает восстановление согласованной конфигурации. Разработка нового ПО, миграции, расширение ресурсов, закупки и обучение вне состава услуги оцениваются отдельно до начала работ. Соглашение является учебной моделью 2026 года; изменение его условий оформляется новой версией и не применяется к прошлым измерениям.</w:t>
      </w:r>
    </w:p>
    <w:p>
      <w:pPr>
        <w:pStyle w:val="Heading3"/>
        <w:spacing w:after="280"/>
      </w:pPr>
      <w:bookmarkStart w:id="105" w:name="_TocUITU5"/>
      <w:r>
        <w:t>2. Список, состав и стоимость предоставляемых услуг</w:t>
      </w:r>
      <w:bookmarkEnd w:id="105"/>
    </w:p>
    <w:p>
      <w:pPr>
        <w:keepNext/>
      </w:pPr>
      <w:r>
        <w:rPr>
          <w:b w:val="0"/>
          <w:sz w:val="28"/>
        </w:rPr>
        <w:t>Данные представлены в таблице 1.</w:t>
      </w:r>
    </w:p>
    <w:p>
      <w:pPr>
        <w:keepNext/>
        <w:spacing w:line="240" w:lineRule="auto"/>
        <w:ind w:firstLine="0"/>
        <w:jc w:val="left"/>
      </w:pPr>
      <w:r>
        <w:rPr>
          <w:b w:val="0"/>
          <w:sz w:val="28"/>
        </w:rPr>
        <w:t>Таблица 1 - Состав и базовая стоимость услуг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3402"/>
        <w:gridCol w:w="3231"/>
      </w:tblGrid>
      <w:tr>
        <w:trPr>
          <w:tblHeader/>
          <w:cantSplit/>
        </w:trPr>
        <w:tc>
          <w:tcPr>
            <w:tcW w:type="dxa" w:w="272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3"/>
              </w:rPr>
              <w:t>Услуга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3"/>
              </w:rPr>
              <w:t>Состав обслуживания</w:t>
            </w:r>
          </w:p>
        </w:tc>
        <w:tc>
          <w:tcPr>
            <w:tcW w:type="dxa" w:w="323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3"/>
              </w:rPr>
              <w:t>Стоимость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Аренда виртуальных серверов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Предоставление вычислительных ресурсов в аренду для разработки ПО, тестирования и хостинга сайтов.</w:t>
            </w:r>
          </w:p>
        </w:tc>
        <w:tc>
          <w:tcPr>
            <w:tcW w:type="dxa" w:w="323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500 ₽/мес. за 1 vCPU, 1 ГБ RAM, 10 ГБ SSD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Лицензирование программного обеспечения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Предоставление лицензий на использование ПО для автоматизации бизнеса и офисной работы.</w:t>
            </w:r>
          </w:p>
        </w:tc>
        <w:tc>
          <w:tcPr>
            <w:tcW w:type="dxa" w:w="323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от 1 000 ₽/мес. за пользователя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Доступ к облачному хранилищу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Хранение данных в облаке для документооборота и резервного копирования.</w:t>
            </w:r>
          </w:p>
        </w:tc>
        <w:tc>
          <w:tcPr>
            <w:tcW w:type="dxa" w:w="323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от 200 ₽/мес. за 100 ГБ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Управление серверной инфраструктурой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Администрирование серверов заказчика, обновление и поддержание конфигураций ИТ-систем.</w:t>
            </w:r>
          </w:p>
        </w:tc>
        <w:tc>
          <w:tcPr>
            <w:tcW w:type="dxa" w:w="323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от 10 000 ₽/мес. за сервер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Мониторинг и поддержка работоспособности систем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Круглосуточный мониторинг и устранение неполадок для бесперебойной работы бизнеса.</w:t>
            </w:r>
          </w:p>
        </w:tc>
        <w:tc>
          <w:tcPr>
            <w:tcW w:type="dxa" w:w="323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от 5 000 ₽/мес. за узел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Управление резервным копированием и восстановлением данных</w:t>
            </w:r>
          </w:p>
        </w:tc>
        <w:tc>
          <w:tcPr>
            <w:tcW w:type="dxa" w:w="3402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Настройка, выполнение и контроль резервного копирования, восстановление данных.</w:t>
            </w:r>
          </w:p>
        </w:tc>
        <w:tc>
          <w:tcPr>
            <w:tcW w:type="dxa" w:w="3231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от 3 000 ₽/мес. за 1 ТБ</w:t>
            </w:r>
          </w:p>
        </w:tc>
      </w:tr>
    </w:tbl>
    <w:p>
      <w:pPr>
        <w:keepNext w:val="0"/>
      </w:pPr>
      <w:r>
        <w:rPr>
          <w:b w:val="0"/>
          <w:sz w:val="28"/>
        </w:rPr>
        <w:t>Все шесть наименований и тарифов сохранены из исходного каталога предприятия. Формулировка «от» обозначает минимальную цену: итоговая сумма зависит от согласованного объёма и конфигурации. Налоги, сторонние лицензии, дробное использование месяца и дополнительные работы определяются отдельными условиями договора.</w:t>
      </w:r>
    </w:p>
    <w:p>
      <w:pPr>
        <w:pStyle w:val="Heading3"/>
        <w:spacing w:after="280"/>
      </w:pPr>
      <w:bookmarkStart w:id="106" w:name="_TocUITU6"/>
      <w:r>
        <w:t>3. Единица измерения стоимости услуг Исполнителя</w:t>
      </w:r>
      <w:bookmarkEnd w:id="106"/>
    </w:p>
    <w:p>
      <w:pPr>
        <w:keepNext w:val="0"/>
      </w:pPr>
      <w:r>
        <w:rPr>
          <w:b w:val="0"/>
          <w:sz w:val="28"/>
        </w:rPr>
        <w:t>- Виртуальные серверы: комплект 1 vCPU, 1 ГБ RAM и 10 ГБ SSD в месяц; стоимость 500 руб. за комплект.</w:t>
      </w:r>
    </w:p>
    <w:p>
      <w:pPr>
        <w:keepNext w:val="0"/>
      </w:pPr>
      <w:r>
        <w:rPr>
          <w:b w:val="0"/>
          <w:sz w:val="28"/>
        </w:rPr>
        <w:t>- Лицензирование ПО: пользователь в месяц, от 1 000 руб.</w:t>
      </w:r>
    </w:p>
    <w:p>
      <w:pPr>
        <w:keepNext w:val="0"/>
      </w:pPr>
      <w:r>
        <w:rPr>
          <w:b w:val="0"/>
          <w:sz w:val="28"/>
        </w:rPr>
        <w:t>- Облачное хранилище: пакет 100 ГБ в месяц, от 200 руб.</w:t>
      </w:r>
    </w:p>
    <w:p>
      <w:pPr>
        <w:keepNext w:val="0"/>
      </w:pPr>
      <w:r>
        <w:rPr>
          <w:b w:val="0"/>
          <w:sz w:val="28"/>
        </w:rPr>
        <w:t>- Управление инфраструктурой: сервер в месяц, от 10 000 руб.</w:t>
      </w:r>
    </w:p>
    <w:p>
      <w:pPr>
        <w:keepNext w:val="0"/>
      </w:pPr>
      <w:r>
        <w:rPr>
          <w:b w:val="0"/>
          <w:sz w:val="28"/>
        </w:rPr>
        <w:t>- Мониторинг и поддержка: узел в месяц, от 5 000 руб.</w:t>
      </w:r>
    </w:p>
    <w:p>
      <w:pPr>
        <w:keepNext w:val="0"/>
      </w:pPr>
      <w:r>
        <w:rPr>
          <w:b w:val="0"/>
          <w:sz w:val="28"/>
        </w:rPr>
        <w:t>- Резервное копирование и восстановление: 1 ТБ в месяц, от 3 000 руб.</w:t>
      </w:r>
    </w:p>
    <w:p>
      <w:pPr>
        <w:keepNext w:val="0"/>
      </w:pPr>
      <w:r>
        <w:rPr>
          <w:b w:val="0"/>
          <w:sz w:val="28"/>
        </w:rPr>
        <w:t>Пример месячного расчёта по минимальным тарифам: 4 комплекта ВМ, 10 пользователей ПО, 5 пакетов хранилища, 2 сервера администрирования, 3 узла мониторинга и 2 ТБ копий: 500 × 4 + 1 000 × 10 + 200 × 5 + 10 000 × 2 + 5 000 × 3 + 3 000 × 2 = 54 000 руб. Почасовые ставки и надбавки за выходные в исходном каталоге не определены.</w:t>
      </w:r>
    </w:p>
    <w:p>
      <w:pPr>
        <w:pStyle w:val="Heading3"/>
        <w:spacing w:after="280"/>
      </w:pPr>
      <w:bookmarkStart w:id="107" w:name="_TocUITU7"/>
      <w:r>
        <w:t>4. Применяемый инструментарий</w:t>
      </w:r>
      <w:bookmarkEnd w:id="107"/>
    </w:p>
    <w:p>
      <w:pPr>
        <w:keepNext w:val="0"/>
      </w:pPr>
      <w:r>
        <w:rPr>
          <w:b w:val="0"/>
          <w:sz w:val="28"/>
        </w:rPr>
        <w:t>Программные и аппаратные средства соответствуют сервисно-ресурсным моделям предприятия. Обозначение через косую черту указывает допустимые альтернативы продуктов.</w:t>
      </w:r>
    </w:p>
    <w:p>
      <w:pPr>
        <w:keepNext/>
      </w:pPr>
      <w:r>
        <w:rPr>
          <w:b w:val="0"/>
          <w:sz w:val="28"/>
        </w:rPr>
        <w:t>Данные представлены в таблице 2.</w:t>
      </w:r>
    </w:p>
    <w:p>
      <w:pPr>
        <w:keepNext/>
        <w:spacing w:line="240" w:lineRule="auto"/>
        <w:ind w:firstLine="0"/>
        <w:jc w:val="left"/>
      </w:pPr>
      <w:r>
        <w:rPr>
          <w:b w:val="0"/>
          <w:sz w:val="28"/>
        </w:rPr>
        <w:t>Таблица 2 - Средства предоставления и сопровождения услуг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402"/>
        <w:gridCol w:w="3685"/>
      </w:tblGrid>
      <w:tr>
        <w:trPr>
          <w:tblHeader/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3"/>
              </w:rPr>
              <w:t>Услуга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3"/>
              </w:rPr>
              <w:t>ПО и данные</w:t>
            </w:r>
          </w:p>
        </w:tc>
        <w:tc>
          <w:tcPr>
            <w:tcW w:type="dxa" w:w="3685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3"/>
              </w:rPr>
              <w:t>Оборудование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Аренда ВМ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VMware vSphere, БД конфигураций</w:t>
            </w:r>
          </w:p>
        </w:tc>
        <w:tc>
          <w:tcPr>
            <w:tcW w:type="dxa" w:w="3685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Гипервизор, сервер БД, СХД и сеть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Лицензирование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FlexLM/KMS, БД лицензий</w:t>
            </w:r>
          </w:p>
        </w:tc>
        <w:tc>
          <w:tcPr>
            <w:tcW w:type="dxa" w:w="3685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Сервер лицензий и сервер БД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Хранилище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Веб-интерфейс/API, БД метаданных</w:t>
            </w:r>
          </w:p>
        </w:tc>
        <w:tc>
          <w:tcPr>
            <w:tcW w:type="dxa" w:w="3685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СХД, сервер приложений, сервер БД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Администрирование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Ansible/SCCM, БД конфигураций и изменений</w:t>
            </w:r>
          </w:p>
        </w:tc>
        <w:tc>
          <w:tcPr>
            <w:tcW w:type="dxa" w:w="3685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Управляемые серверы, сервер управления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Мониторинг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Zabbix/Prometheus, агенты, БД метрик</w:t>
            </w:r>
          </w:p>
        </w:tc>
        <w:tc>
          <w:tcPr>
            <w:tcW w:type="dxa" w:w="3685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Агенты серверов приложений и БД, сервер БД мониторинга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Резервное копирование</w:t>
            </w:r>
          </w:p>
        </w:tc>
        <w:tc>
          <w:tcPr>
            <w:tcW w:type="dxa" w:w="3402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Veeam, БД каталога копий</w:t>
            </w:r>
          </w:p>
        </w:tc>
        <w:tc>
          <w:tcPr>
            <w:tcW w:type="dxa" w:w="3685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Сервер бэкапов, сервер БД, СХД копий</w:t>
            </w:r>
          </w:p>
        </w:tc>
      </w:tr>
    </w:tbl>
    <w:p>
      <w:pPr>
        <w:keepNext w:val="0"/>
      </w:pPr>
      <w:r>
        <w:rPr>
          <w:b w:val="0"/>
          <w:sz w:val="28"/>
        </w:rPr>
        <w:t>Телекоммуникации: защищённый удалённый доступ, сеть ЦОД и согласованные каналы заказчика. Основной канал учёта - Service Desk; телефон используется при аварийной недоступности портала, электронная почта и личные сообщения - для вспомогательного взаимодействия. Оператор переносит аварийные обращения в систему с подтверждённым временем первого поступления.</w:t>
      </w:r>
    </w:p>
    <w:p>
      <w:pPr>
        <w:keepNext w:val="0"/>
      </w:pPr>
      <w:r>
        <w:rPr>
          <w:b w:val="0"/>
          <w:sz w:val="28"/>
        </w:rPr>
        <w:t>Человеческие ресурсы: инженер аренды и специалист лицензирования отдела аренды и доступа; системный администратор и инженер мониторинга отдела управления и поддержки; разработчик и аналитик отдела развития. Финансово-административный отдел обеспечивает расчёты, договоры и дежурства. Общую ответственность за SLA несёт руководитель отдела управления и поддержки, спорные вопросы утверждает глава предприятия.</w:t>
      </w:r>
    </w:p>
    <w:p>
      <w:pPr>
        <w:keepNext w:val="0"/>
      </w:pPr>
      <w:r>
        <w:rPr>
          <w:b w:val="0"/>
          <w:sz w:val="28"/>
        </w:rPr>
        <w:t>Документация: каталог, SLA, спецификации, инструкции ИБ, регламенты инцидентов и изменений, журналы конфигураций и восстановления. Внешние ЦОД, операторы связи и вендоры привлекаются при наличии договора; ответственность за коммуникацию с заказчиком сохраняет поставщик услуги.</w:t>
      </w:r>
    </w:p>
    <w:p>
      <w:pPr>
        <w:pStyle w:val="Heading3"/>
        <w:spacing w:after="280"/>
      </w:pPr>
      <w:bookmarkStart w:id="108" w:name="_TocUITU8"/>
      <w:r>
        <w:t>5. Приоритеты задач</w:t>
      </w:r>
      <w:bookmarkEnd w:id="108"/>
    </w:p>
    <w:p>
      <w:pPr>
        <w:keepNext w:val="0"/>
      </w:pPr>
      <w:r>
        <w:rPr>
          <w:b w:val="0"/>
          <w:sz w:val="28"/>
        </w:rPr>
        <w:t>Приоритет определяется влиянием сбоя на бизнес и срочностью восстановления. Плановые запросы на ресурсы и изменения имеют отдельно согласованные сроки и не приравниваются к аварийному инциденту.</w:t>
      </w:r>
    </w:p>
    <w:p>
      <w:pPr>
        <w:keepNext w:val="0"/>
      </w:pPr>
      <w:r>
        <w:rPr>
          <w:b w:val="0"/>
          <w:sz w:val="28"/>
        </w:rPr>
        <w:t>- P1 - критический: остановка критичного процесса без обходного пути, например недоступность производственной ВМ.</w:t>
      </w:r>
    </w:p>
    <w:p>
      <w:pPr>
        <w:keepNext w:val="0"/>
      </w:pPr>
      <w:r>
        <w:rPr>
          <w:b w:val="0"/>
          <w:sz w:val="28"/>
        </w:rPr>
        <w:t>- P2 - высокий: значительная деградация или отказ важного компонента с ограниченным обходным решением.</w:t>
      </w:r>
    </w:p>
    <w:p>
      <w:pPr>
        <w:keepNext w:val="0"/>
      </w:pPr>
      <w:r>
        <w:rPr>
          <w:b w:val="0"/>
          <w:sz w:val="28"/>
        </w:rPr>
        <w:t>- P3 - средний: локальный сбой с рабочим обходным путём; часть пользователей сохраняет доступ.</w:t>
      </w:r>
    </w:p>
    <w:p>
      <w:pPr>
        <w:keepNext w:val="0"/>
      </w:pPr>
      <w:r>
        <w:rPr>
          <w:b w:val="0"/>
          <w:sz w:val="28"/>
        </w:rPr>
        <w:t>- P4 - низкий: некритичная неисправность или консультационный инцидент без существенного влияния.</w:t>
      </w:r>
    </w:p>
    <w:p>
      <w:pPr>
        <w:pStyle w:val="Heading3"/>
        <w:spacing w:after="280"/>
      </w:pPr>
      <w:bookmarkStart w:id="109" w:name="_TocUITU9"/>
      <w:r>
        <w:t>6. Выполнение задач в рамках одного приоритета</w:t>
      </w:r>
      <w:bookmarkEnd w:id="109"/>
    </w:p>
    <w:p>
      <w:pPr>
        <w:keepNext w:val="0"/>
      </w:pPr>
      <w:r>
        <w:rPr>
          <w:b w:val="0"/>
          <w:sz w:val="28"/>
        </w:rPr>
        <w:t>Внутри одного приоритета действует FIFO: сначала более раннее время регистрации, при равенстве - меньший номер обращения. Отступление от очереди допускается при подтверждённой зависимости работ и фиксируется руководителем поддержки в истории с обоснованием. Передача между специалистами не сбрасывает сроки.</w:t>
      </w:r>
    </w:p>
    <w:p>
      <w:pPr>
        <w:keepNext w:val="0"/>
      </w:pPr>
      <w:r>
        <w:rPr>
          <w:b w:val="0"/>
          <w:sz w:val="28"/>
        </w:rPr>
        <w:t>P1 немедленно эскалируется руководителю поддержки. Для остальных приоритетов предупреждение о риске нарушения направляется при использовании 75 % срока решения. Дополнительные ресурсы и привлечение профильных специалистов согласуются через руководителя с сохранением единой карточки.</w:t>
      </w:r>
    </w:p>
    <w:p>
      <w:pPr>
        <w:pStyle w:val="Heading3"/>
        <w:spacing w:after="280"/>
      </w:pPr>
      <w:bookmarkStart w:id="110" w:name="_TocUITU10"/>
      <w:r>
        <w:t>7. Определение приоритетов Заказчиком</w:t>
      </w:r>
      <w:bookmarkEnd w:id="110"/>
    </w:p>
    <w:p>
      <w:pPr>
        <w:keepNext w:val="0"/>
      </w:pPr>
      <w:r>
        <w:rPr>
          <w:b w:val="0"/>
          <w:sz w:val="28"/>
        </w:rPr>
        <w:t>При регистрации заказчик выбирает исходный приоритет и описывает влияние, затронутую услугу и ресурсы. Поддержка проверяет обоснование. Изменение приоритета требует причины; старое и новое значения, автор и время сохраняются в журнале. Новый дедлайн рассчитывается от первоначальной регистрации.</w:t>
      </w:r>
    </w:p>
    <w:p>
      <w:pPr>
        <w:keepNext w:val="0"/>
      </w:pPr>
      <w:r>
        <w:rPr>
          <w:b w:val="0"/>
          <w:sz w:val="28"/>
        </w:rPr>
        <w:t>Заказчик вправе запросить пересмотр приоритета в карточке обращения. До разрешения спора руководителем поддержки применяется более высокий обоснованный приоритет. Изменение функциональности и дополнительные работы согласуются отдельно и не изменяют показатели уже завершённых инцидентов.</w:t>
      </w:r>
    </w:p>
    <w:p>
      <w:pPr>
        <w:pStyle w:val="Heading3"/>
        <w:spacing w:after="280"/>
      </w:pPr>
      <w:bookmarkStart w:id="111" w:name="_TocUITU11"/>
      <w:r>
        <w:t>8. Уровни поддержки, сроки реакции и решения</w:t>
      </w:r>
      <w:bookmarkEnd w:id="111"/>
    </w:p>
    <w:p>
      <w:pPr>
        <w:keepNext/>
      </w:pPr>
      <w:r>
        <w:rPr>
          <w:b w:val="0"/>
          <w:sz w:val="28"/>
        </w:rPr>
        <w:t>Данные представлены в таблице 3.</w:t>
      </w:r>
    </w:p>
    <w:p>
      <w:pPr>
        <w:keepNext/>
        <w:spacing w:line="240" w:lineRule="auto"/>
        <w:ind w:firstLine="0"/>
        <w:jc w:val="left"/>
      </w:pPr>
      <w:r>
        <w:rPr>
          <w:b w:val="0"/>
          <w:sz w:val="28"/>
        </w:rPr>
        <w:t>Таблица 3 - Целевые сроки обслуживания 24/7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268"/>
        <w:gridCol w:w="2268"/>
        <w:gridCol w:w="3118"/>
      </w:tblGrid>
      <w:tr>
        <w:trPr>
          <w:tblHeader/>
          <w:cantSplit/>
        </w:trPr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3"/>
              </w:rPr>
              <w:t>Приоритет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3"/>
              </w:rPr>
              <w:t>Срок реакции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3"/>
              </w:rPr>
              <w:t>Срок решения</w:t>
            </w:r>
          </w:p>
        </w:tc>
        <w:tc>
          <w:tcPr>
            <w:tcW w:type="dxa" w:w="3118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3"/>
              </w:rPr>
              <w:t>Обновление информации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P1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15 минут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4 часа</w:t>
            </w:r>
          </w:p>
        </w:tc>
        <w:tc>
          <w:tcPr>
            <w:tcW w:type="dxa" w:w="3118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Не реже раза в час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P2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30 минут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8 часов</w:t>
            </w:r>
          </w:p>
        </w:tc>
        <w:tc>
          <w:tcPr>
            <w:tcW w:type="dxa" w:w="3118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Не реже раза в 2 часа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P3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2 часа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24 часа</w:t>
            </w:r>
          </w:p>
        </w:tc>
        <w:tc>
          <w:tcPr>
            <w:tcW w:type="dxa" w:w="3118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Не реже раза в сутки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P4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4 часа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72 часа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Не реже раза в сутки</w:t>
            </w:r>
          </w:p>
        </w:tc>
      </w:tr>
    </w:tbl>
    <w:p>
      <w:pPr>
        <w:keepNext w:val="0"/>
      </w:pPr>
      <w:r>
        <w:rPr>
          <w:b w:val="0"/>
          <w:sz w:val="28"/>
        </w:rPr>
        <w:t>Реакция - содержательное принятие специалистом с фиксацией первого действия. Автоматическое уведомление реакцией не считается. Решение - восстановление согласованной работоспособности или принятый заказчиком обходной путь с описанием действий. Время от регистрации до реакции и решения отсчитывается непрерывно; ожидание ответа и эскалация его не останавливают.</w:t>
      </w:r>
    </w:p>
    <w:p>
      <w:pPr>
        <w:keepNext/>
      </w:pPr>
      <w:r>
        <w:rPr>
          <w:b w:val="0"/>
          <w:sz w:val="28"/>
        </w:rPr>
        <w:t>Данные представлены в таблице 4.</w:t>
      </w:r>
    </w:p>
    <w:p>
      <w:pPr>
        <w:keepNext/>
        <w:spacing w:line="240" w:lineRule="auto"/>
        <w:ind w:firstLine="0"/>
        <w:jc w:val="left"/>
      </w:pPr>
      <w:r>
        <w:rPr>
          <w:b w:val="0"/>
          <w:sz w:val="28"/>
        </w:rPr>
        <w:t>Таблица 4 - Распределение уровней поддержки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402"/>
        <w:gridCol w:w="4819"/>
      </w:tblGrid>
      <w:tr>
        <w:trPr>
          <w:tblHeader/>
          <w:cantSplit/>
        </w:trPr>
        <w:tc>
          <w:tcPr>
            <w:tcW w:type="dxa" w:w="113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3"/>
              </w:rPr>
              <w:t>Уровень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3"/>
              </w:rPr>
              <w:t>Исполнители</w:t>
            </w:r>
          </w:p>
        </w:tc>
        <w:tc>
          <w:tcPr>
            <w:tcW w:type="dxa" w:w="4819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3"/>
              </w:rPr>
              <w:t>Содержание работ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L1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Дежурная поддержка, инженер мониторинга</w:t>
            </w:r>
          </w:p>
        </w:tc>
        <w:tc>
          <w:tcPr>
            <w:tcW w:type="dxa" w:w="4819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Регистрация, уточнение влияния, типовые проверки, передача диагностических данных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L2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Системный администратор, инженер аренды, специалист лицензирования</w:t>
            </w:r>
          </w:p>
        </w:tc>
        <w:tc>
          <w:tcPr>
            <w:tcW w:type="dxa" w:w="4819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Профильная диагностика, восстановление конфигурации, проверка связанных КЕ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L3</w:t>
            </w:r>
          </w:p>
        </w:tc>
        <w:tc>
          <w:tcPr>
            <w:tcW w:type="dxa" w:w="3402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Разработчик, аналитик, внешний вендор по договору</w:t>
            </w:r>
          </w:p>
        </w:tc>
        <w:tc>
          <w:tcPr>
            <w:tcW w:type="dxa" w:w="4819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Анализ сложного дефекта, исправление или обходное решение</w:t>
            </w:r>
          </w:p>
        </w:tc>
      </w:tr>
    </w:tbl>
    <w:p>
      <w:pPr>
        <w:keepNext w:val="0"/>
      </w:pPr>
      <w:r>
        <w:rPr>
          <w:b w:val="0"/>
          <w:sz w:val="28"/>
        </w:rPr>
        <w:t>Передача на следующий уровень содержит диагноз, журналы, выполненные действия и список ресурсов. До подтверждения приёма ответственность сохраняет передающий сотрудник. При недостатке ресурсов организационная эскалация направляется руководителю поддержки, затем главе предприятия.</w:t>
      </w:r>
    </w:p>
    <w:p>
      <w:pPr>
        <w:keepNext w:val="0"/>
      </w:pPr>
      <w:r>
        <w:rPr>
          <w:b w:val="0"/>
          <w:sz w:val="28"/>
        </w:rPr>
        <w:t>Учебные цели качества: доступность ВМ, лицензирования, хранилища и системы мониторинга не ниже 99,5 % за месяц; выдача лицензии до 1 календарного дня после согласования; сбор метрик с интервалом до 60 секунд; журналирование 100 % согласованных изменений; успешность заданий копирования не ниже 98 %, RPO до 24 часов и RTO до 8 часов при наличии исправной копии.</w:t>
      </w:r>
    </w:p>
    <w:p>
      <w:pPr>
        <w:keepNext w:val="0"/>
      </w:pPr>
      <w:r>
        <w:rPr>
          <w:b w:val="0"/>
          <w:sz w:val="28"/>
        </w:rPr>
        <w:t>Доступность A = 100 × (T - M - D) / (T - M), где T - календарные минуты месяца, M - согласованное обслуживание, D - подтверждённый незапланированный простой. Плановые работы объявляются за 48 часов, исключаемый интервал ограничен 120 минутами за месяц. При T = 43 200 и M = 0 цель 99,5 % допускает 216 минут простоя.</w:t>
      </w:r>
    </w:p>
    <w:p>
      <w:pPr>
        <w:pStyle w:val="Heading3"/>
        <w:spacing w:after="280"/>
      </w:pPr>
      <w:bookmarkStart w:id="112" w:name="_TocUITU12"/>
      <w:r>
        <w:t>9. Статусы обращений и их значения</w:t>
      </w:r>
      <w:bookmarkEnd w:id="112"/>
    </w:p>
    <w:p>
      <w:pPr>
        <w:keepNext/>
      </w:pPr>
      <w:r>
        <w:rPr>
          <w:b w:val="0"/>
          <w:sz w:val="28"/>
        </w:rPr>
        <w:t>Данные представлены в таблице 5.</w:t>
      </w:r>
    </w:p>
    <w:p>
      <w:pPr>
        <w:keepNext/>
        <w:spacing w:line="240" w:lineRule="auto"/>
        <w:ind w:firstLine="0"/>
        <w:jc w:val="left"/>
      </w:pPr>
      <w:r>
        <w:rPr>
          <w:b w:val="0"/>
          <w:sz w:val="28"/>
        </w:rPr>
        <w:t>Таблица 5 - Жизненный цикл обращения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819"/>
        <w:gridCol w:w="2835"/>
      </w:tblGrid>
      <w:tr>
        <w:trPr>
          <w:tblHeader/>
          <w:cantSplit/>
        </w:trPr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3"/>
              </w:rPr>
              <w:t>Статус</w:t>
            </w:r>
          </w:p>
        </w:tc>
        <w:tc>
          <w:tcPr>
            <w:tcW w:type="dxa" w:w="4819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3"/>
              </w:rPr>
              <w:t>Значение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3"/>
              </w:rPr>
              <w:t>Следующий статус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Новая</w:t>
            </w:r>
          </w:p>
        </w:tc>
        <w:tc>
          <w:tcPr>
            <w:tcW w:type="dxa" w:w="4819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Зарегистрировано; срок отсчитывается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В работе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В работе</w:t>
            </w:r>
          </w:p>
        </w:tc>
        <w:tc>
          <w:tcPr>
            <w:tcW w:type="dxa" w:w="4819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Назначение, диагностика, восстановление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Ожидание; Решена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Ожидание</w:t>
            </w:r>
          </w:p>
        </w:tc>
        <w:tc>
          <w:tcPr>
            <w:tcW w:type="dxa" w:w="4819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Необходимы данные или согласование; время продолжается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В работе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Решена</w:t>
            </w:r>
          </w:p>
        </w:tc>
        <w:tc>
          <w:tcPr>
            <w:tcW w:type="dxa" w:w="4819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Исполнитель описал результат и время восстановления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Закрыта; В работе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Закрыта</w:t>
            </w:r>
          </w:p>
        </w:tc>
        <w:tc>
          <w:tcPr>
            <w:tcW w:type="dxa" w:w="4819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Заказчик принял результат; доступно чтение</w:t>
            </w:r>
          </w:p>
        </w:tc>
        <w:tc>
          <w:tcPr>
            <w:tcW w:type="dxa" w:w="2835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Переходов нет</w:t>
            </w:r>
          </w:p>
        </w:tc>
      </w:tr>
    </w:tbl>
    <w:p>
      <w:pPr>
        <w:keepNext w:val="0"/>
      </w:pPr>
      <w:r>
        <w:rPr>
          <w:b w:val="0"/>
          <w:sz w:val="28"/>
        </w:rPr>
        <w:t>При отказе от решения заказчик возвращает обращение в работу. История сохраняется, время окончательного решения пересчитывается от первоначальной регистрации. Автоматическое закрытие по отсутствию ответа не применяется. Повторный сбой после закрытия оформляется новым связанным обращением.</w:t>
      </w:r>
    </w:p>
    <w:p>
      <w:pPr>
        <w:pStyle w:val="Heading3"/>
        <w:spacing w:after="280"/>
      </w:pPr>
      <w:bookmarkStart w:id="113" w:name="_TocUITU13"/>
      <w:r>
        <w:t>10. Работа с распределенными проектами</w:t>
      </w:r>
      <w:bookmarkEnd w:id="113"/>
    </w:p>
    <w:p>
      <w:pPr>
        <w:keepNext w:val="0"/>
      </w:pPr>
      <w:r>
        <w:rPr>
          <w:b w:val="0"/>
          <w:sz w:val="28"/>
        </w:rPr>
        <w:t>Для распределённой команды определяются координаторы сторон, часовые пояса, ресурсы и разрешённые способы доступа. Единым источником состояния является карточка обращения. Переписка из других каналов переносится ответственным сотрудником; технические пароли и персональные данные не размещаются в открытых комментариях.</w:t>
      </w:r>
    </w:p>
    <w:p>
      <w:pPr>
        <w:keepNext w:val="0"/>
      </w:pPr>
      <w:r>
        <w:rPr>
          <w:b w:val="0"/>
          <w:sz w:val="28"/>
        </w:rPr>
        <w:t>Передача смены включает открытые заявки, исполнителей, ближайшие дедлайны, ожидаемые ответы и риски. Изменение общей инфраструктуры сопровождается анализом зависимостей, оценкой влияния, согласованным окном, проверками и планом отката. Аварийное изменение для P1 разрешает руководитель поддержки, действия документируются после стабилизации.</w:t>
      </w:r>
    </w:p>
    <w:p>
      <w:pPr>
        <w:pStyle w:val="Heading3"/>
        <w:spacing w:after="280"/>
      </w:pPr>
      <w:bookmarkStart w:id="114" w:name="_TocUITU14"/>
      <w:r>
        <w:t>11. Порядок выполнения обращений</w:t>
      </w:r>
      <w:bookmarkEnd w:id="114"/>
    </w:p>
    <w:p>
      <w:pPr>
        <w:keepNext w:val="0"/>
      </w:pPr>
      <w:r>
        <w:rPr>
          <w:b w:val="0"/>
          <w:sz w:val="28"/>
        </w:rPr>
        <w:t>- Регистрация: тема, описание, услуга, приоритет, контакт заказчика и связанные КЕ.</w:t>
      </w:r>
    </w:p>
    <w:p>
      <w:pPr>
        <w:keepNext w:val="0"/>
      </w:pPr>
      <w:r>
        <w:rPr>
          <w:b w:val="0"/>
          <w:sz w:val="28"/>
        </w:rPr>
        <w:t>- Проверка полноты данных, дубликатов и влияния; принятие в работу и назначение исполнителя.</w:t>
      </w:r>
    </w:p>
    <w:p>
      <w:pPr>
        <w:keepNext w:val="0"/>
      </w:pPr>
      <w:r>
        <w:rPr>
          <w:b w:val="0"/>
          <w:sz w:val="28"/>
        </w:rPr>
        <w:t>- Диагностика связанных ресурсов, выбор плана, согласование рискованных действий.</w:t>
      </w:r>
    </w:p>
    <w:p>
      <w:pPr>
        <w:keepNext w:val="0"/>
      </w:pPr>
      <w:r>
        <w:rPr>
          <w:b w:val="0"/>
          <w:sz w:val="28"/>
        </w:rPr>
        <w:t>- Восстановление услуги и контрольные проверки; документирование выполненных действий.</w:t>
      </w:r>
    </w:p>
    <w:p>
      <w:pPr>
        <w:keepNext w:val="0"/>
      </w:pPr>
      <w:r>
        <w:rPr>
          <w:b w:val="0"/>
          <w:sz w:val="28"/>
        </w:rPr>
        <w:t>- Перевод в «Решена» с описанием результата; подтверждение заказчиком и закрытие либо возврат в работу.</w:t>
      </w:r>
    </w:p>
    <w:p>
      <w:pPr>
        <w:keepNext w:val="0"/>
      </w:pPr>
      <w:r>
        <w:rPr>
          <w:b w:val="0"/>
          <w:sz w:val="28"/>
        </w:rPr>
        <w:t>- Включение результатов в месячный отчёт: реакция, решение, нарушения, простои, причины и корректирующие меры.</w:t>
      </w:r>
    </w:p>
    <w:p>
      <w:pPr>
        <w:keepNext w:val="0"/>
      </w:pPr>
      <w:r>
        <w:rPr>
          <w:b w:val="0"/>
          <w:sz w:val="28"/>
        </w:rPr>
        <w:t>При нарушении сроков исполнитель уведомляет заказчика и фиксирует причину и корректирующее действие. Учебная модель предусматривает сервисный кредит 5 % стоимости затронутой услуги при доступности от 99,0 % до 99,5 %, 10 % при доступности ниже 99,0 %; суммарный кредит ограничен 20 % её месячной стоимости. Расчёт выполняется после сверки интервалов. Претензия подаётся в течение 10 календарных дней после отчёта, ответ предоставляется в течение 5 дней.</w:t>
      </w:r>
    </w:p>
    <w:p>
      <w:pPr>
        <w:keepNext w:val="0"/>
      </w:pPr>
      <w:r>
        <w:rPr>
          <w:b w:val="0"/>
          <w:sz w:val="28"/>
        </w:rPr>
        <w:t>SLA пересматривается ежеквартально и при существенном изменении услуг. Прототип ITSM автоматизирует карточки, роли, историю и сроки. Автоматические интеграции с инфраструктурой, измерение месячной доступности и финансовый расчёт кредитов требуют отдельного внедрения.</w:t>
      </w:r>
    </w:p>
    <w:p>
      <w:pPr>
        <w:pStyle w:val="Heading1"/>
        <w:spacing w:after="280"/>
      </w:pPr>
      <w:bookmarkStart w:id="115" w:name="_TocUITU15"/>
      <w:r>
        <w:t>Вывод по работе</w:t>
      </w:r>
      <w:bookmarkEnd w:id="115"/>
    </w:p>
    <w:p>
      <w:pPr>
        <w:keepNext w:val="0"/>
      </w:pPr>
      <w:r>
        <w:rPr>
          <w:b w:val="0"/>
          <w:sz w:val="28"/>
        </w:rPr>
        <w:t>Составлено соглашение об уровне сервиса для ООО «ТехноСервис». Определены границы шести услуг, исходные тарифы и единицы оплаты, средства предоставления, четыре приоритета и три уровня поддержки. Установлены круглосуточные сроки реакции и решения, статусы, очередь, эскалация и взаимодействие распределённых команд.</w:t>
      </w:r>
    </w:p>
    <w:p>
      <w:pPr>
        <w:keepNext w:val="0"/>
      </w:pPr>
      <w:r>
        <w:rPr>
          <w:b w:val="0"/>
          <w:sz w:val="28"/>
        </w:rPr>
        <w:t>Разработанное SLA связывает каталог и ресурсы предприятия с моделями процессов и реализацией Service Desk. Показатели качества и сервисные кредиты являются условиями учебной модели; их фактическое достижение требует эксплуатационных измерений и договора с заказчиком.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color w:val="000000"/>
      <w:sz w:val="28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widowControl/>
      <w:spacing w:before="0" w:after="0" w:line="240" w:lineRule="auto"/>
      <w:ind w:firstLine="709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0" w:after="0" w:line="240" w:lineRule="auto"/>
      <w:ind w:firstLine="709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0" w:after="0" w:line="240" w:lineRule="auto"/>
      <w:ind w:firstLine="709"/>
      <w:outlineLvl w:val="2"/>
    </w:pPr>
    <w:rPr>
      <w:rFonts w:ascii="Times New Roman" w:hAnsi="Times New Roman" w:eastAsia="Times New Roman" w:cs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40" w:lineRule="auto" w:before="0" w:after="0"/>
      <w:ind w:firstLine="0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widowControl/>
      <w:spacing w:before="0" w:after="0" w:line="360" w:lineRule="auto"/>
      <w:ind w:firstLine="709"/>
      <w:outlineLvl w:val="9"/>
    </w:pPr>
    <w:rPr>
      <w:rFonts w:ascii="Times New Roman" w:hAnsi="Times New Roman" w:eastAsia="Times New Roman" w:cs="Times New Roman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pPr>
      <w:keepNext w:val="0"/>
      <w:tabs>
        <w:tab w:pos="9354" w:val="right" w:leader="dot"/>
        <w:tab w:pos="9354" w:val="right" w:leader="dot"/>
      </w:tabs>
      <w:spacing w:line="240" w:lineRule="auto" w:before="0" w:after="0"/>
      <w:ind w:left="0" w:firstLine="0"/>
    </w:pPr>
    <w:rPr>
      <w:rFonts w:ascii="Times New Roman" w:hAnsi="Times New Roman"/>
      <w:color w:val="000000"/>
      <w:sz w:val="24"/>
    </w:rPr>
  </w:style>
  <w:style w:type="paragraph" w:customStyle="1" w:styleId="TOC2">
    <w:name w:val="TOC 2"/>
    <w:pPr>
      <w:keepNext w:val="0"/>
      <w:tabs>
        <w:tab w:pos="9354" w:val="right" w:leader="dot"/>
        <w:tab w:pos="9354" w:val="right" w:leader="dot"/>
      </w:tabs>
      <w:spacing w:line="240" w:lineRule="auto" w:before="0" w:after="0"/>
      <w:ind w:left="227" w:firstLine="0"/>
    </w:pPr>
    <w:rPr>
      <w:rFonts w:ascii="Times New Roman" w:hAnsi="Times New Roman"/>
      <w:color w:val="000000"/>
      <w:sz w:val="24"/>
    </w:rPr>
  </w:style>
  <w:style w:type="paragraph" w:customStyle="1" w:styleId="TOC3">
    <w:name w:val="TOC 3"/>
    <w:pPr>
      <w:keepNext w:val="0"/>
      <w:tabs>
        <w:tab w:pos="9354" w:val="right" w:leader="dot"/>
        <w:tab w:pos="9354" w:val="right" w:leader="dot"/>
      </w:tabs>
      <w:spacing w:line="240" w:lineRule="auto" w:before="0" w:after="0"/>
      <w:ind w:left="454" w:firstLine="0"/>
    </w:pPr>
    <w:rPr>
      <w:rFonts w:ascii="Times New Roman" w:hAnsi="Times New Roman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№4. Соглашение об уровне сервиса</dc:title>
  <dc:subject>Управление информационно-технологическими услугами. ООО «ТехноСервис»</dc:subject>
  <dc:creator>Тарасов Арсений Максимович; Дементиевский Дмитрий Максимович; Тыцкий Богдан Максимович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