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line="240" w:lineRule="auto"/>
        <w:ind w:firstLine="0"/>
        <w:jc w:val="center"/>
      </w:pPr>
      <w:r>
        <w:rPr>
          <w:b w:val="0"/>
          <w:sz w:val="28"/>
        </w:rPr>
      </w:r>
      <w:r>
        <w:drawing>
          <wp:inline xmlns:a="http://schemas.openxmlformats.org/drawingml/2006/main" xmlns:pic="http://schemas.openxmlformats.org/drawingml/2006/picture">
            <wp:extent cx="864000" cy="864000"/>
            <wp:docPr id="1" name="Picture 1" descr="Эмблема РТУ МИРЭ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rea-emble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b w:val="0"/>
          <w:sz w:val="28"/>
        </w:rPr>
        <w:t>МИНИСТЕРСТВО НАУКИ И ВЫСШЕГО ОБРАЗОВАНИЯ РОССИЙСКОЙ ФЕДЕРАЦИИ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keepNext w:val="0"/>
        <w:ind w:firstLine="0"/>
        <w:jc w:val="center"/>
      </w:pPr>
      <w:r>
        <w:rPr>
          <w:b/>
          <w:sz w:val="28"/>
        </w:rPr>
        <w:t>«МИРЭА - Российский технологический университет»</w:t>
      </w:r>
    </w:p>
    <w:p>
      <w:pPr>
        <w:keepNext w:val="0"/>
        <w:ind w:firstLine="0"/>
        <w:jc w:val="center"/>
        <w:pBdr>
          <w:bottom w:val="double" w:sz="6" w:space="8" w:color="000000"/>
        </w:pBdr>
      </w:pPr>
      <w:r>
        <w:rPr>
          <w:b/>
          <w:sz w:val="28"/>
        </w:rPr>
        <w:t>РТУ МИРЭА</w:t>
      </w:r>
    </w:p>
    <w:p>
      <w:pPr>
        <w:keepNext w:val="0"/>
      </w:pPr>
      <w:r>
        <w:rPr>
          <w:b w:val="0"/>
          <w:sz w:val="28"/>
        </w:rPr>
      </w:r>
    </w:p>
    <w:p>
      <w:pPr>
        <w:keepNext w:val="0"/>
        <w:ind w:firstLine="0"/>
        <w:jc w:val="center"/>
      </w:pPr>
      <w:r>
        <w:rPr>
          <w:b w:val="0"/>
          <w:sz w:val="28"/>
        </w:rPr>
        <w:t>Институт информационных технологий (ИТ)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Кафедра корпоративных информационных систем (КИС)</w:t>
      </w:r>
    </w:p>
    <w:p>
      <w:pPr>
        <w:keepNext w:val="0"/>
        <w:ind w:firstLine="0"/>
        <w:jc w:val="center"/>
      </w:pPr>
      <w:r>
        <w:rPr>
          <w:b/>
          <w:sz w:val="28"/>
        </w:rPr>
        <w:t>ОТЧЕТ ПО ПРАКТИЧЕСКОЙ РАБОТЕ №5</w:t>
      </w:r>
    </w:p>
    <w:p>
      <w:pPr>
        <w:keepNext w:val="0"/>
        <w:ind w:firstLine="0"/>
        <w:jc w:val="center"/>
      </w:pPr>
      <w:r>
        <w:rPr>
          <w:b/>
          <w:sz w:val="28"/>
        </w:rPr>
        <w:t>по дисциплине</w:t>
      </w:r>
    </w:p>
    <w:p>
      <w:pPr>
        <w:keepNext w:val="0"/>
        <w:ind w:firstLine="0"/>
        <w:jc w:val="center"/>
      </w:pPr>
      <w:r>
        <w:rPr>
          <w:b/>
          <w:sz w:val="28"/>
        </w:rPr>
        <w:t>«Управление информационно-технологическими услугами»</w:t>
      </w:r>
    </w:p>
    <w:p>
      <w:pPr>
        <w:keepNext w:val="0"/>
      </w:pPr>
      <w:r>
        <w:rPr>
          <w:b w:val="0"/>
          <w:sz w:val="2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72"/>
        <w:gridCol w:w="5783"/>
      </w:tblGrid>
      <w:tr>
        <w:trPr>
          <w:cantSplit/>
        </w:trPr>
        <w:tc>
          <w:tcPr>
            <w:tcW w:type="dxa" w:w="3572"/>
          </w:tcPr>
          <w:p>
            <w:pPr>
              <w:spacing w:line="288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Выполнили студенты</w:t>
              <w:br/>
              <w:t>группы ИКБО-74-23</w:t>
            </w:r>
          </w:p>
        </w:tc>
        <w:tc>
          <w:tcPr>
            <w:tcW w:type="dxa" w:w="5783"/>
          </w:tcPr>
          <w:p>
            <w:pPr>
              <w:spacing w:line="288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Тарасов Арсений Максимович</w:t>
              <w:br/>
              <w:t>Дементиевский Дмитрий Максимович</w:t>
              <w:br/>
              <w:t>Тыцкий Богдан Максимович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line="288" w:lineRule="auto" w:before="30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Принял преподаватель</w:t>
            </w:r>
          </w:p>
        </w:tc>
        <w:tc>
          <w:tcPr>
            <w:tcW w:type="dxa" w:w="5783"/>
          </w:tcPr>
          <w:p>
            <w:pPr>
              <w:spacing w:line="288" w:lineRule="auto" w:before="30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ассистент Демидов Н.А.</w:t>
            </w:r>
          </w:p>
        </w:tc>
      </w:tr>
    </w:tbl>
    <w:p>
      <w:pPr>
        <w:keepNext w:val="0"/>
        <w:spacing w:before="680"/>
        <w:ind w:firstLine="0"/>
        <w:jc w:val="center"/>
      </w:pPr>
      <w:r>
        <w:rPr>
          <w:b w:val="0"/>
          <w:sz w:val="28"/>
        </w:rPr>
        <w:t>Москва 2026</w:t>
      </w:r>
    </w:p>
    <w:p>
      <w:pPr>
        <w:pStyle w:val="TOCHeading"/>
        <w:spacing w:after="280"/>
        <w:ind w:firstLine="0"/>
        <w:jc w:val="center"/>
        <w:pageBreakBefore/>
      </w:pPr>
      <w:r>
        <w:t>СОДЕРЖАНИЕ</w:t>
      </w:r>
    </w:p>
    <w:sdt>
      <w:sdtPr>
        <w:tag w:val="UITU_TOC"/>
        <w:docPartObj>
          <w:docPartGallery w:val="Table of Contents"/>
          <w:docPartUnique/>
        </w:docPartObj>
      </w:sdtPr>
      <w:sdtContent>
        <w:p>
          <w:pPr>
            <w:pStyle w:val="TOC1"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UITU1">
            <w:r>
              <w:t>ЦЕЛЬ ПРАКТИЧЕСКОЙ РАБОТЫ</w:t>
            </w:r>
            <w:r>
              <w:tab/>
            </w:r>
            <w:r>
              <w:t>3</w:t>
            </w:r>
          </w:hyperlink>
        </w:p>
        <w:p>
          <w:pPr>
            <w:pStyle w:val="TOC1"/>
          </w:pPr>
          <w:hyperlink w:anchor="_TocUITU2">
            <w:r>
              <w:t>ВЫПОЛНЕНИЕ РАБОТЫ</w:t>
            </w:r>
            <w:r>
              <w:tab/>
            </w:r>
            <w:r>
              <w:t>4</w:t>
            </w:r>
          </w:hyperlink>
        </w:p>
        <w:p>
          <w:pPr>
            <w:pStyle w:val="TOC2"/>
          </w:pPr>
          <w:hyperlink w:anchor="_TocUITU3">
            <w:r>
              <w:t>1. Аренда виртуальных серверов</w:t>
            </w:r>
            <w:r>
              <w:tab/>
            </w:r>
            <w:r>
              <w:t>5</w:t>
            </w:r>
          </w:hyperlink>
        </w:p>
        <w:p>
          <w:pPr>
            <w:pStyle w:val="TOC3"/>
          </w:pPr>
          <w:hyperlink w:anchor="_TocUITU4">
            <w:r>
              <w:t>1.1 Контекстная диаграмма A-0</w:t>
            </w:r>
            <w:r>
              <w:tab/>
            </w:r>
            <w:r>
              <w:t>5</w:t>
            </w:r>
          </w:hyperlink>
        </w:p>
        <w:p>
          <w:pPr>
            <w:pStyle w:val="TOC3"/>
          </w:pPr>
          <w:hyperlink w:anchor="_TocUITU5">
            <w:r>
              <w:t>1.2 Декомпозиция первого уровня A0</w:t>
            </w:r>
            <w:r>
              <w:tab/>
            </w:r>
            <w:r>
              <w:t>6</w:t>
            </w:r>
          </w:hyperlink>
        </w:p>
        <w:p>
          <w:pPr>
            <w:pStyle w:val="TOC3"/>
          </w:pPr>
          <w:hyperlink w:anchor="_TocUITU6">
            <w:r>
              <w:t>1.3 Второй уровень A1</w:t>
            </w:r>
            <w:r>
              <w:tab/>
            </w:r>
            <w:r>
              <w:t>7</w:t>
            </w:r>
          </w:hyperlink>
        </w:p>
        <w:p>
          <w:pPr>
            <w:pStyle w:val="TOC3"/>
          </w:pPr>
          <w:hyperlink w:anchor="_TocUITU7">
            <w:r>
              <w:t>1.4 Второй уровень A2</w:t>
            </w:r>
            <w:r>
              <w:tab/>
            </w:r>
            <w:r>
              <w:t>8</w:t>
            </w:r>
          </w:hyperlink>
        </w:p>
        <w:p>
          <w:pPr>
            <w:pStyle w:val="TOC3"/>
          </w:pPr>
          <w:hyperlink w:anchor="_TocUITU8">
            <w:r>
              <w:t>1.5 Второй уровень A3</w:t>
            </w:r>
            <w:r>
              <w:tab/>
            </w:r>
            <w:r>
              <w:t>9</w:t>
            </w:r>
          </w:hyperlink>
        </w:p>
        <w:p>
          <w:pPr>
            <w:pStyle w:val="TOC3"/>
          </w:pPr>
          <w:hyperlink w:anchor="_TocUITU9">
            <w:r>
              <w:t>1.6 Второй уровень A4</w:t>
            </w:r>
            <w:r>
              <w:tab/>
            </w:r>
            <w:r>
              <w:t>10</w:t>
            </w:r>
          </w:hyperlink>
        </w:p>
        <w:p>
          <w:pPr>
            <w:pStyle w:val="TOC2"/>
          </w:pPr>
          <w:hyperlink w:anchor="_TocUITU10">
            <w:r>
              <w:t>2. Мониторинг и поддержка систем</w:t>
            </w:r>
            <w:r>
              <w:tab/>
            </w:r>
            <w:r>
              <w:t>11</w:t>
            </w:r>
          </w:hyperlink>
        </w:p>
        <w:p>
          <w:pPr>
            <w:pStyle w:val="TOC3"/>
          </w:pPr>
          <w:hyperlink w:anchor="_TocUITU11">
            <w:r>
              <w:t>2.1 Контекстная диаграмма A-0</w:t>
            </w:r>
            <w:r>
              <w:tab/>
            </w:r>
            <w:r>
              <w:t>11</w:t>
            </w:r>
          </w:hyperlink>
        </w:p>
        <w:p>
          <w:pPr>
            <w:pStyle w:val="TOC3"/>
          </w:pPr>
          <w:hyperlink w:anchor="_TocUITU12">
            <w:r>
              <w:t>2.2 Декомпозиция первого уровня A0</w:t>
            </w:r>
            <w:r>
              <w:tab/>
            </w:r>
            <w:r>
              <w:t>12</w:t>
            </w:r>
          </w:hyperlink>
        </w:p>
        <w:p>
          <w:pPr>
            <w:pStyle w:val="TOC3"/>
          </w:pPr>
          <w:hyperlink w:anchor="_TocUITU13">
            <w:r>
              <w:t>2.3 Второй уровень A1</w:t>
            </w:r>
            <w:r>
              <w:tab/>
            </w:r>
            <w:r>
              <w:t>13</w:t>
            </w:r>
          </w:hyperlink>
        </w:p>
        <w:p>
          <w:pPr>
            <w:pStyle w:val="TOC3"/>
          </w:pPr>
          <w:hyperlink w:anchor="_TocUITU14">
            <w:r>
              <w:t>2.4 Второй уровень A2</w:t>
            </w:r>
            <w:r>
              <w:tab/>
            </w:r>
            <w:r>
              <w:t>14</w:t>
            </w:r>
          </w:hyperlink>
        </w:p>
        <w:p>
          <w:pPr>
            <w:pStyle w:val="TOC3"/>
          </w:pPr>
          <w:hyperlink w:anchor="_TocUITU15">
            <w:r>
              <w:t>2.5 Второй уровень A3</w:t>
            </w:r>
            <w:r>
              <w:tab/>
            </w:r>
            <w:r>
              <w:t>15</w:t>
            </w:r>
          </w:hyperlink>
        </w:p>
        <w:p>
          <w:pPr>
            <w:pStyle w:val="TOC3"/>
          </w:pPr>
          <w:hyperlink w:anchor="_TocUITU16">
            <w:r>
              <w:t>2.6 Второй уровень A4</w:t>
            </w:r>
            <w:r>
              <w:tab/>
            </w:r>
            <w:r>
              <w:t>16</w:t>
            </w:r>
          </w:hyperlink>
        </w:p>
        <w:p>
          <w:pPr>
            <w:pStyle w:val="TOC2"/>
          </w:pPr>
          <w:hyperlink w:anchor="_TocUITU17">
            <w:r>
              <w:t>3. Проверка полноты и согласованности</w:t>
            </w:r>
            <w:r>
              <w:tab/>
            </w:r>
            <w:r>
              <w:t>17</w:t>
            </w:r>
          </w:hyperlink>
        </w:p>
        <w:p>
          <w:pPr>
            <w:pStyle w:val="TOC1"/>
          </w:pPr>
          <w:hyperlink w:anchor="_TocUITU18">
            <w:r>
              <w:t>Вывод по работе</w:t>
            </w:r>
            <w:r>
              <w:tab/>
            </w:r>
            <w:r>
              <w:t>18</w:t>
            </w:r>
          </w:hyperlink>
          <w:r>
            <w:fldChar w:fldCharType="end"/>
          </w:r>
        </w:p>
      </w:sdtContent>
    </w:sdt>
    <w:p>
      <w:pPr>
        <w:pStyle w:val="Heading1"/>
        <w:spacing w:after="280"/>
      </w:pPr>
      <w:bookmarkStart w:id="101" w:name="_TocUITU1"/>
      <w:r>
        <w:t>ЦЕЛЬ ПРАКТИЧЕСКОЙ РАБОТЫ</w:t>
      </w:r>
      <w:bookmarkEnd w:id="101"/>
    </w:p>
    <w:p>
      <w:pPr>
        <w:keepNext w:val="0"/>
      </w:pPr>
      <w:r>
        <w:rPr>
          <w:b w:val="0"/>
          <w:sz w:val="28"/>
        </w:rPr>
        <w:t>Цель работы: построить функциональные модели предоставления двух ИТ-услуг ООО «ТехноСервис» в нотации IDEF0. Для каждой услуги разработать контекстную диаграмму, декомпозицию первого уровня на четыре функции и второй уровень для каждой функции, определить входы, выходы, управление и механизмы.</w:t>
      </w:r>
    </w:p>
    <w:p>
      <w:pPr>
        <w:pStyle w:val="Heading1"/>
        <w:spacing w:after="280"/>
      </w:pPr>
      <w:bookmarkStart w:id="102" w:name="_TocUITU2"/>
      <w:r>
        <w:t>ВЫПОЛНЕНИЕ РАБОТЫ</w:t>
      </w:r>
      <w:bookmarkEnd w:id="102"/>
    </w:p>
    <w:p>
      <w:pPr>
        <w:keepNext w:val="0"/>
      </w:pPr>
      <w:r>
        <w:rPr>
          <w:b w:val="0"/>
          <w:sz w:val="28"/>
        </w:rPr>
        <w:t>Выбраны услуги разных линий: аренда виртуальных серверов из линии «Доступ/аренда» и мониторинг с поддержкой из линии «Управление». Механизмы соответствуют сервисно-ресурсным моделям предприятия; управляющие правила согласованы с SLA практической работы №4.</w:t>
      </w:r>
    </w:p>
    <w:p>
      <w:pPr>
        <w:keepNext w:val="0"/>
      </w:pPr>
      <w:r>
        <w:rPr>
          <w:b w:val="0"/>
          <w:sz w:val="28"/>
        </w:rPr>
        <w:t>В IDEF0 входы подходят слева, выходы отходят справа, управление поступает сверху, механизмы - снизу. Блоки названы глаголами. Контекст A-0 содержит функцию A0; диаграмма A0 раскрывает её на A1, A2, A3 и A4. Каждый из четырёх блоков раскрыт на три функции второго уровня.</w:t>
      </w:r>
    </w:p>
    <w:p>
      <w:pPr>
        <w:keepNext w:val="0"/>
      </w:pPr>
      <w:r>
        <w:rPr>
          <w:b w:val="0"/>
          <w:sz w:val="28"/>
        </w:rPr>
        <w:t>Листы выполнены в стиле образца: светлый фон, тонкие чёрные контуры, ортогональные связи, отдельные подписи ICOM, номер блока в правом нижнем углу, рамка и штамп с узлом, названием и номером листа. Для каждой услуги используется собственное дерево нумерации.</w:t>
      </w:r>
    </w:p>
    <w:p>
      <w:pPr>
        <w:keepNext/>
      </w:pPr>
      <w:r>
        <w:rPr>
          <w:b w:val="0"/>
          <w:sz w:val="28"/>
        </w:rPr>
        <w:t>Данные представлены в таблице 1.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1 - Состав комплекта моделей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871"/>
        <w:gridCol w:w="2211"/>
        <w:gridCol w:w="2438"/>
      </w:tblGrid>
      <w:tr>
        <w:trPr>
          <w:tblHeader/>
          <w:cantSplit/>
        </w:trPr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Услуга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Контекст</w:t>
            </w:r>
          </w:p>
        </w:tc>
        <w:tc>
          <w:tcPr>
            <w:tcW w:type="dxa" w:w="221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Первый уровень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Второй уровень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 виртуальных серверов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A-0: блок A0</w:t>
            </w:r>
          </w:p>
        </w:tc>
        <w:tc>
          <w:tcPr>
            <w:tcW w:type="dxa" w:w="221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A0: A1, A2, A3, A4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A1, A2, A3, A4; по 3 функции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 и поддержка</w:t>
            </w:r>
          </w:p>
        </w:tc>
        <w:tc>
          <w:tcPr>
            <w:tcW w:type="dxa" w:w="187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A-0: блок A0</w:t>
            </w:r>
          </w:p>
        </w:tc>
        <w:tc>
          <w:tcPr>
            <w:tcW w:type="dxa" w:w="221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A0: A1, A2, A3, A4</w:t>
            </w:r>
          </w:p>
        </w:tc>
        <w:tc>
          <w:tcPr>
            <w:tcW w:type="dxa" w:w="2438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A1, A2, A3, A4; по 3 функции</w:t>
            </w:r>
          </w:p>
        </w:tc>
      </w:tr>
    </w:tbl>
    <w:p>
      <w:pPr>
        <w:pStyle w:val="Heading2"/>
        <w:pageBreakBefore/>
        <w:spacing w:after="280"/>
      </w:pPr>
      <w:bookmarkStart w:id="103" w:name="_TocUITU3"/>
      <w:r>
        <w:t>1. Аренда виртуальных серверов</w:t>
      </w:r>
      <w:bookmarkEnd w:id="103"/>
    </w:p>
    <w:p>
      <w:pPr>
        <w:pStyle w:val="Heading3"/>
        <w:spacing w:after="280"/>
      </w:pPr>
      <w:bookmarkStart w:id="104" w:name="_TocUITU4"/>
      <w:r>
        <w:t>1.1 Контекстная диаграмма A-0</w:t>
      </w:r>
      <w:bookmarkEnd w:id="104"/>
    </w:p>
    <w:p>
      <w:pPr>
        <w:keepNext/>
      </w:pPr>
      <w:r>
        <w:rPr>
          <w:b w:val="0"/>
          <w:sz w:val="28"/>
        </w:rPr>
        <w:t>Результат представлен на рисунке 1.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ps_Aminus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1 - Аренда виртуальных серверов. Контекстная диаграмма A-0</w:t>
      </w:r>
    </w:p>
    <w:p>
      <w:pPr>
        <w:keepNext w:val="0"/>
      </w:pPr>
      <w:r>
        <w:rPr>
          <w:b w:val="0"/>
          <w:sz w:val="28"/>
        </w:rPr>
        <w:t>Входы (I): Заявка заказчика, Параметры ВМ, Данные доступа.</w:t>
      </w:r>
    </w:p>
    <w:p>
      <w:pPr>
        <w:keepNext w:val="0"/>
      </w:pPr>
      <w:r>
        <w:rPr>
          <w:b w:val="0"/>
          <w:sz w:val="28"/>
        </w:rPr>
        <w:t>Управление (C): SLA, Каталог и тарифы, Требования ИБ, Регламент выдачи ВМ.</w:t>
      </w:r>
    </w:p>
    <w:p>
      <w:pPr>
        <w:keepNext w:val="0"/>
      </w:pPr>
      <w:r>
        <w:rPr>
          <w:b w:val="0"/>
          <w:sz w:val="28"/>
        </w:rPr>
        <w:t>Выходы (O): Работающая ВМ, Данные подключения, Акт предоставления.</w:t>
      </w:r>
    </w:p>
    <w:p>
      <w:pPr>
        <w:keepNext w:val="0"/>
      </w:pPr>
      <w:r>
        <w:rPr>
          <w:b w:val="0"/>
          <w:sz w:val="28"/>
        </w:rPr>
        <w:t>Механизмы (M): VMware vSphere, Гипервизор и СХД, БД конфигураций, Инженер аренды.</w:t>
      </w:r>
    </w:p>
    <w:p>
      <w:pPr>
        <w:keepNext w:val="0"/>
      </w:pPr>
      <w:r>
        <w:rPr>
          <w:b w:val="0"/>
          <w:sz w:val="28"/>
        </w:rPr>
        <w:t>Граница модели охватывает полный путь от получения исходных данных до предоставления согласованного результата. Внешние ИТ-продукты выступают механизмами; сама функция описывает деятельность по оказанию услуги.</w:t>
      </w:r>
    </w:p>
    <w:p>
      <w:pPr>
        <w:pStyle w:val="Heading3"/>
        <w:pageBreakBefore/>
        <w:spacing w:after="280"/>
      </w:pPr>
      <w:bookmarkStart w:id="105" w:name="_TocUITU5"/>
      <w:r>
        <w:t>1.2 Декомпозиция первого уровня A0</w:t>
      </w:r>
      <w:bookmarkEnd w:id="105"/>
    </w:p>
    <w:p>
      <w:pPr>
        <w:keepNext/>
      </w:pPr>
      <w:r>
        <w:rPr>
          <w:b w:val="0"/>
          <w:sz w:val="28"/>
        </w:rPr>
        <w:t>Результат представлен на рисунке 2.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ps_A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2 - Аренда виртуальных серверов. Декомпозиция A0</w:t>
      </w:r>
    </w:p>
    <w:p>
      <w:pPr>
        <w:keepNext w:val="0"/>
      </w:pPr>
      <w:r>
        <w:rPr>
          <w:b w:val="0"/>
          <w:sz w:val="28"/>
        </w:rPr>
        <w:t>A1. Согласовать заявку и ресурсы. Результат: Согласованная спецификация.</w:t>
      </w:r>
    </w:p>
    <w:p>
      <w:pPr>
        <w:keepNext w:val="0"/>
      </w:pPr>
      <w:r>
        <w:rPr>
          <w:b w:val="0"/>
          <w:sz w:val="28"/>
        </w:rPr>
        <w:t>A2. Развернуть виртуальный сервер. Результат: Созданная ВМ.</w:t>
      </w:r>
    </w:p>
    <w:p>
      <w:pPr>
        <w:keepNext w:val="0"/>
      </w:pPr>
      <w:r>
        <w:rPr>
          <w:b w:val="0"/>
          <w:sz w:val="28"/>
        </w:rPr>
        <w:t>A3. Настроить доступ и защиту. Результат: Настроенная ВМ.</w:t>
      </w:r>
    </w:p>
    <w:p>
      <w:pPr>
        <w:keepNext w:val="0"/>
      </w:pPr>
      <w:r>
        <w:rPr>
          <w:b w:val="0"/>
          <w:sz w:val="28"/>
        </w:rPr>
        <w:t>A4. Проверить и передать сервер. Результат: Работающая ВМ, Данные подключения, Акт предоставления.</w:t>
      </w:r>
    </w:p>
    <w:p>
      <w:pPr>
        <w:keepNext w:val="0"/>
      </w:pPr>
      <w:r>
        <w:rPr>
          <w:b w:val="0"/>
          <w:sz w:val="28"/>
        </w:rPr>
        <w:t>Выход предыдущей функции становится входом следующей. Дополнительные внешние сведения подаются на соответствующий этап. Граничные входы и выходы совпадают с контекстом; управления и механизмы разветвляются только к использующим их функциям.</w:t>
      </w:r>
    </w:p>
    <w:p>
      <w:pPr>
        <w:pStyle w:val="Heading3"/>
        <w:pageBreakBefore/>
        <w:spacing w:after="280"/>
      </w:pPr>
      <w:bookmarkStart w:id="106" w:name="_TocUITU6"/>
      <w:r>
        <w:t>1.3 Второй уровень A1</w:t>
      </w:r>
      <w:bookmarkEnd w:id="106"/>
    </w:p>
    <w:p>
      <w:pPr>
        <w:keepNext/>
      </w:pPr>
      <w:r>
        <w:rPr>
          <w:b w:val="0"/>
          <w:sz w:val="28"/>
        </w:rPr>
        <w:t>Результат представлен на рисунке 3.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ps_A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3 - Аренда виртуальных серверов. Согласовать заявку и ресурсы, узел A1</w:t>
      </w:r>
    </w:p>
    <w:p>
      <w:pPr>
        <w:keepNext w:val="0"/>
      </w:pPr>
      <w:r>
        <w:rPr>
          <w:b w:val="0"/>
          <w:sz w:val="28"/>
        </w:rPr>
        <w:t>Входы (I): Заявка заказчика, Параметры ВМ.</w:t>
      </w:r>
    </w:p>
    <w:p>
      <w:pPr>
        <w:keepNext w:val="0"/>
      </w:pPr>
      <w:r>
        <w:rPr>
          <w:b w:val="0"/>
          <w:sz w:val="28"/>
        </w:rPr>
        <w:t>Управление (C): SLA, Каталог и тарифы.</w:t>
      </w:r>
    </w:p>
    <w:p>
      <w:pPr>
        <w:keepNext w:val="0"/>
      </w:pPr>
      <w:r>
        <w:rPr>
          <w:b w:val="0"/>
          <w:sz w:val="28"/>
        </w:rPr>
        <w:t>Выходы (O): Согласованная спецификация.</w:t>
      </w:r>
    </w:p>
    <w:p>
      <w:pPr>
        <w:keepNext w:val="0"/>
      </w:pPr>
      <w:r>
        <w:rPr>
          <w:b w:val="0"/>
          <w:sz w:val="28"/>
        </w:rPr>
        <w:t>Механизмы (M): VMware vSphere, БД конфигураций, Инженер аренды.</w:t>
      </w:r>
    </w:p>
    <w:p>
      <w:pPr>
        <w:keepNext w:val="0"/>
      </w:pPr>
      <w:r>
        <w:rPr>
          <w:b w:val="0"/>
          <w:sz w:val="28"/>
        </w:rPr>
        <w:t>A11 проверяет число vCPU, RAM и SSD, назначение ВМ и контакт заказчика. A12 сопоставляет свободную ёмкость с тарифом 500 руб. за месячный комплект. A13 согласует спецификацию; неполная заявка возвращается на уточнение до развёртывания.</w:t>
      </w:r>
    </w:p>
    <w:p>
      <w:pPr>
        <w:pStyle w:val="Heading3"/>
        <w:pageBreakBefore/>
        <w:spacing w:after="280"/>
      </w:pPr>
      <w:bookmarkStart w:id="107" w:name="_TocUITU7"/>
      <w:r>
        <w:t>1.4 Второй уровень A2</w:t>
      </w:r>
      <w:bookmarkEnd w:id="107"/>
    </w:p>
    <w:p>
      <w:pPr>
        <w:keepNext/>
      </w:pPr>
      <w:r>
        <w:rPr>
          <w:b w:val="0"/>
          <w:sz w:val="28"/>
        </w:rPr>
        <w:t>Результат представлен на рисунке 4.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ps_A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4 - Аренда виртуальных серверов. Развернуть виртуальный сервер, узел A2</w:t>
      </w:r>
    </w:p>
    <w:p>
      <w:pPr>
        <w:keepNext w:val="0"/>
      </w:pPr>
      <w:r>
        <w:rPr>
          <w:b w:val="0"/>
          <w:sz w:val="28"/>
        </w:rPr>
        <w:t>Входы (I): Согласованная спецификация.</w:t>
      </w:r>
    </w:p>
    <w:p>
      <w:pPr>
        <w:keepNext w:val="0"/>
      </w:pPr>
      <w:r>
        <w:rPr>
          <w:b w:val="0"/>
          <w:sz w:val="28"/>
        </w:rPr>
        <w:t>Управление (C): Регламент выдачи ВМ.</w:t>
      </w:r>
    </w:p>
    <w:p>
      <w:pPr>
        <w:keepNext w:val="0"/>
      </w:pPr>
      <w:r>
        <w:rPr>
          <w:b w:val="0"/>
          <w:sz w:val="28"/>
        </w:rPr>
        <w:t>Выходы (O): Созданная ВМ.</w:t>
      </w:r>
    </w:p>
    <w:p>
      <w:pPr>
        <w:keepNext w:val="0"/>
      </w:pPr>
      <w:r>
        <w:rPr>
          <w:b w:val="0"/>
          <w:sz w:val="28"/>
        </w:rPr>
        <w:t>Механизмы (M): VMware vSphere, Гипервизор и СХД, БД конфигураций, Инженер аренды.</w:t>
      </w:r>
    </w:p>
    <w:p>
      <w:pPr>
        <w:keepNext w:val="0"/>
      </w:pPr>
      <w:r>
        <w:rPr>
          <w:b w:val="0"/>
          <w:sz w:val="28"/>
        </w:rPr>
        <w:t>A21 резервирует вычислительный пул и место на СХД. A22 создаёт ВМ по утверждённому шаблону. A23 настраивает базовую ОС. Результат этого этапа ещё не является выданной заказчику услугой: права и изоляция проверяются отдельно.</w:t>
      </w:r>
    </w:p>
    <w:p>
      <w:pPr>
        <w:pStyle w:val="Heading3"/>
        <w:pageBreakBefore/>
        <w:spacing w:after="280"/>
      </w:pPr>
      <w:bookmarkStart w:id="108" w:name="_TocUITU8"/>
      <w:r>
        <w:t>1.5 Второй уровень A3</w:t>
      </w:r>
      <w:bookmarkEnd w:id="108"/>
    </w:p>
    <w:p>
      <w:pPr>
        <w:keepNext/>
      </w:pPr>
      <w:r>
        <w:rPr>
          <w:b w:val="0"/>
          <w:sz w:val="28"/>
        </w:rPr>
        <w:t>Результат представлен на рисунке 5.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ps_A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5 - Аренда виртуальных серверов. Настроить доступ и защиту, узел A3</w:t>
      </w:r>
    </w:p>
    <w:p>
      <w:pPr>
        <w:keepNext w:val="0"/>
      </w:pPr>
      <w:r>
        <w:rPr>
          <w:b w:val="0"/>
          <w:sz w:val="28"/>
        </w:rPr>
        <w:t>Входы (I): Созданная ВМ, Данные доступа.</w:t>
      </w:r>
    </w:p>
    <w:p>
      <w:pPr>
        <w:keepNext w:val="0"/>
      </w:pPr>
      <w:r>
        <w:rPr>
          <w:b w:val="0"/>
          <w:sz w:val="28"/>
        </w:rPr>
        <w:t>Управление (C): Требования ИБ, Регламент выдачи ВМ.</w:t>
      </w:r>
    </w:p>
    <w:p>
      <w:pPr>
        <w:keepNext w:val="0"/>
      </w:pPr>
      <w:r>
        <w:rPr>
          <w:b w:val="0"/>
          <w:sz w:val="28"/>
        </w:rPr>
        <w:t>Выходы (O): Настроенная ВМ.</w:t>
      </w:r>
    </w:p>
    <w:p>
      <w:pPr>
        <w:keepNext w:val="0"/>
      </w:pPr>
      <w:r>
        <w:rPr>
          <w:b w:val="0"/>
          <w:sz w:val="28"/>
        </w:rPr>
        <w:t>Механизмы (M): VMware vSphere, БД конфигураций, Инженер аренды.</w:t>
      </w:r>
    </w:p>
    <w:p>
      <w:pPr>
        <w:keepNext w:val="0"/>
      </w:pPr>
      <w:r>
        <w:rPr>
          <w:b w:val="0"/>
          <w:sz w:val="28"/>
        </w:rPr>
        <w:t>A31 создаёт согласованные учётные записи. A32 применяет настройки сети и разграничение доступа. A33 проверяет изоляцию и соответствие требованиям ИБ. При отрицательной проверке настройки исправляются с повторным контролем.</w:t>
      </w:r>
    </w:p>
    <w:p>
      <w:pPr>
        <w:pStyle w:val="Heading3"/>
        <w:pageBreakBefore/>
        <w:spacing w:after="280"/>
      </w:pPr>
      <w:bookmarkStart w:id="109" w:name="_TocUITU9"/>
      <w:r>
        <w:t>1.6 Второй уровень A4</w:t>
      </w:r>
      <w:bookmarkEnd w:id="109"/>
    </w:p>
    <w:p>
      <w:pPr>
        <w:keepNext/>
      </w:pPr>
      <w:r>
        <w:rPr>
          <w:b w:val="0"/>
          <w:sz w:val="28"/>
        </w:rPr>
        <w:t>Результат представлен на рисунке 6.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ps_A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6 - Аренда виртуальных серверов. Проверить и передать сервер, узел A4</w:t>
      </w:r>
    </w:p>
    <w:p>
      <w:pPr>
        <w:keepNext w:val="0"/>
      </w:pPr>
      <w:r>
        <w:rPr>
          <w:b w:val="0"/>
          <w:sz w:val="28"/>
        </w:rPr>
        <w:t>Входы (I): Настроенная ВМ.</w:t>
      </w:r>
    </w:p>
    <w:p>
      <w:pPr>
        <w:keepNext w:val="0"/>
      </w:pPr>
      <w:r>
        <w:rPr>
          <w:b w:val="0"/>
          <w:sz w:val="28"/>
        </w:rPr>
        <w:t>Управление (C): SLA, Регламент выдачи ВМ.</w:t>
      </w:r>
    </w:p>
    <w:p>
      <w:pPr>
        <w:keepNext w:val="0"/>
      </w:pPr>
      <w:r>
        <w:rPr>
          <w:b w:val="0"/>
          <w:sz w:val="28"/>
        </w:rPr>
        <w:t>Выходы (O): Работающая ВМ, Данные подключения, Акт предоставления.</w:t>
      </w:r>
    </w:p>
    <w:p>
      <w:pPr>
        <w:keepNext w:val="0"/>
      </w:pPr>
      <w:r>
        <w:rPr>
          <w:b w:val="0"/>
          <w:sz w:val="28"/>
        </w:rPr>
        <w:t>Механизмы (M): VMware vSphere, БД конфигураций, Инженер аренды.</w:t>
      </w:r>
    </w:p>
    <w:p>
      <w:pPr>
        <w:keepNext w:val="0"/>
      </w:pPr>
      <w:r>
        <w:rPr>
          <w:b w:val="0"/>
          <w:sz w:val="28"/>
        </w:rPr>
        <w:t>A41 проверяет загрузку ОС, вычислительные ресурсы и доступ. A42 включает ВМ в наблюдение. A43 передаёт заказчику сведения для подключения и оформляет акт. Пароль передаётся согласованным защищённым каналом, а не публикуется в отчёте.</w:t>
      </w:r>
    </w:p>
    <w:p>
      <w:pPr>
        <w:pStyle w:val="Heading2"/>
        <w:pageBreakBefore/>
        <w:spacing w:after="280"/>
      </w:pPr>
      <w:bookmarkStart w:id="110" w:name="_TocUITU10"/>
      <w:r>
        <w:t>2. Мониторинг и поддержка систем</w:t>
      </w:r>
      <w:bookmarkEnd w:id="110"/>
    </w:p>
    <w:p>
      <w:pPr>
        <w:pStyle w:val="Heading3"/>
        <w:spacing w:after="280"/>
      </w:pPr>
      <w:bookmarkStart w:id="111" w:name="_TocUITU11"/>
      <w:r>
        <w:t>2.1 Контекстная диаграмма A-0</w:t>
      </w:r>
      <w:bookmarkEnd w:id="111"/>
    </w:p>
    <w:p>
      <w:pPr>
        <w:keepNext/>
      </w:pPr>
      <w:r>
        <w:rPr>
          <w:b w:val="0"/>
          <w:sz w:val="28"/>
        </w:rPr>
        <w:t>Результат представлен на рисунке 7.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ing_Aminus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7 - Мониторинг и поддержка систем. Контекстная диаграмма A-0</w:t>
      </w:r>
    </w:p>
    <w:p>
      <w:pPr>
        <w:keepNext w:val="0"/>
      </w:pPr>
      <w:r>
        <w:rPr>
          <w:b w:val="0"/>
          <w:sz w:val="28"/>
        </w:rPr>
        <w:t>Входы (I): Метрики агентов, Обращение заказчика, Сведения о ресурсах.</w:t>
      </w:r>
    </w:p>
    <w:p>
      <w:pPr>
        <w:keepNext w:val="0"/>
      </w:pPr>
      <w:r>
        <w:rPr>
          <w:b w:val="0"/>
          <w:sz w:val="28"/>
        </w:rPr>
        <w:t>Управление (C): SLA, Пороги мониторинга, Регламент инцидентов, Регламент изменений.</w:t>
      </w:r>
    </w:p>
    <w:p>
      <w:pPr>
        <w:keepNext w:val="0"/>
      </w:pPr>
      <w:r>
        <w:rPr>
          <w:b w:val="0"/>
          <w:sz w:val="28"/>
        </w:rPr>
        <w:t>Выходы (O): Восстановленная услуга, Отчёт по SLA.</w:t>
      </w:r>
    </w:p>
    <w:p>
      <w:pPr>
        <w:keepNext w:val="0"/>
      </w:pPr>
      <w:r>
        <w:rPr>
          <w:b w:val="0"/>
          <w:sz w:val="28"/>
        </w:rPr>
        <w:t>Механизмы (M): Zabbix / Prometheus, БД метрик и инцидентов, Инженер мониторинга, Системный администратор.</w:t>
      </w:r>
    </w:p>
    <w:p>
      <w:pPr>
        <w:keepNext w:val="0"/>
      </w:pPr>
      <w:r>
        <w:rPr>
          <w:b w:val="0"/>
          <w:sz w:val="28"/>
        </w:rPr>
        <w:t>Граница модели охватывает полный путь от получения исходных данных до предоставления согласованного результата. Внешние ИТ-продукты выступают механизмами; сама функция описывает деятельность по оказанию услуги.</w:t>
      </w:r>
    </w:p>
    <w:p>
      <w:pPr>
        <w:pStyle w:val="Heading3"/>
        <w:pageBreakBefore/>
        <w:spacing w:after="280"/>
      </w:pPr>
      <w:bookmarkStart w:id="112" w:name="_TocUITU12"/>
      <w:r>
        <w:t>2.2 Декомпозиция первого уровня A0</w:t>
      </w:r>
      <w:bookmarkEnd w:id="112"/>
    </w:p>
    <w:p>
      <w:pPr>
        <w:keepNext/>
      </w:pPr>
      <w:r>
        <w:rPr>
          <w:b w:val="0"/>
          <w:sz w:val="28"/>
        </w:rPr>
        <w:t>Результат представлен на рисунке 8.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ing_A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8 - Мониторинг и поддержка систем. Декомпозиция A0</w:t>
      </w:r>
    </w:p>
    <w:p>
      <w:pPr>
        <w:keepNext w:val="0"/>
      </w:pPr>
      <w:r>
        <w:rPr>
          <w:b w:val="0"/>
          <w:sz w:val="28"/>
        </w:rPr>
        <w:t>A1. Выявить и зарегистрировать инцидент. Результат: Зарегистрированный инцидент.</w:t>
      </w:r>
    </w:p>
    <w:p>
      <w:pPr>
        <w:keepNext w:val="0"/>
      </w:pPr>
      <w:r>
        <w:rPr>
          <w:b w:val="0"/>
          <w:sz w:val="28"/>
        </w:rPr>
        <w:t>A2. Диагностировать сбой и спланировать решение. Результат: План восстановления.</w:t>
      </w:r>
    </w:p>
    <w:p>
      <w:pPr>
        <w:keepNext w:val="0"/>
      </w:pPr>
      <w:r>
        <w:rPr>
          <w:b w:val="0"/>
          <w:sz w:val="28"/>
        </w:rPr>
        <w:t>A3. Восстановить работу услуги. Результат: Восстановленная услуга и решение.</w:t>
      </w:r>
    </w:p>
    <w:p>
      <w:pPr>
        <w:keepNext w:val="0"/>
      </w:pPr>
      <w:r>
        <w:rPr>
          <w:b w:val="0"/>
          <w:sz w:val="28"/>
        </w:rPr>
        <w:t>A4. Подтвердить результат и закрыть инцидент. Результат: Восстановленная услуга, Отчёт по SLA.</w:t>
      </w:r>
    </w:p>
    <w:p>
      <w:pPr>
        <w:keepNext w:val="0"/>
      </w:pPr>
      <w:r>
        <w:rPr>
          <w:b w:val="0"/>
          <w:sz w:val="28"/>
        </w:rPr>
        <w:t>Выход предыдущей функции становится входом следующей. Дополнительные внешние сведения подаются на соответствующий этап. Граничные входы и выходы совпадают с контекстом; управления и механизмы разветвляются только к использующим их функциям.</w:t>
      </w:r>
    </w:p>
    <w:p>
      <w:pPr>
        <w:pStyle w:val="Heading3"/>
        <w:pageBreakBefore/>
        <w:spacing w:after="280"/>
      </w:pPr>
      <w:bookmarkStart w:id="113" w:name="_TocUITU13"/>
      <w:r>
        <w:t>2.3 Второй уровень A1</w:t>
      </w:r>
      <w:bookmarkEnd w:id="113"/>
    </w:p>
    <w:p>
      <w:pPr>
        <w:keepNext/>
      </w:pPr>
      <w:r>
        <w:rPr>
          <w:b w:val="0"/>
          <w:sz w:val="28"/>
        </w:rPr>
        <w:t>Результат представлен на рисунке 9.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ing_A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9 - Мониторинг и поддержка систем. Выявить и зарегистрировать инцидент, узел A1</w:t>
      </w:r>
    </w:p>
    <w:p>
      <w:pPr>
        <w:keepNext w:val="0"/>
      </w:pPr>
      <w:r>
        <w:rPr>
          <w:b w:val="0"/>
          <w:sz w:val="28"/>
        </w:rPr>
        <w:t>Входы (I): Метрики агентов, Обращение заказчика.</w:t>
      </w:r>
    </w:p>
    <w:p>
      <w:pPr>
        <w:keepNext w:val="0"/>
      </w:pPr>
      <w:r>
        <w:rPr>
          <w:b w:val="0"/>
          <w:sz w:val="28"/>
        </w:rPr>
        <w:t>Управление (C): SLA, Пороги мониторинга, Регламент инцидентов.</w:t>
      </w:r>
    </w:p>
    <w:p>
      <w:pPr>
        <w:keepNext w:val="0"/>
      </w:pPr>
      <w:r>
        <w:rPr>
          <w:b w:val="0"/>
          <w:sz w:val="28"/>
        </w:rPr>
        <w:t>Выходы (O): Зарегистрированный инцидент.</w:t>
      </w:r>
    </w:p>
    <w:p>
      <w:pPr>
        <w:keepNext w:val="0"/>
      </w:pPr>
      <w:r>
        <w:rPr>
          <w:b w:val="0"/>
          <w:sz w:val="28"/>
        </w:rPr>
        <w:t>Механизмы (M): Zabbix / Prometheus, БД метрик и инцидентов, Инженер мониторинга.</w:t>
      </w:r>
    </w:p>
    <w:p>
      <w:pPr>
        <w:keepNext w:val="0"/>
      </w:pPr>
      <w:r>
        <w:rPr>
          <w:b w:val="0"/>
          <w:sz w:val="28"/>
        </w:rPr>
        <w:t>A11 принимает метрики агентов и сообщения заказчика. A12 сопоставляет событие с порогами, определяет влияние и исключает ложный сигнал. A13 регистрирует подтверждённый инцидент с приоритетом, услугой и связанными КЕ; с этого времени начинается отсчёт SLA.</w:t>
      </w:r>
    </w:p>
    <w:p>
      <w:pPr>
        <w:pStyle w:val="Heading3"/>
        <w:pageBreakBefore/>
        <w:spacing w:after="280"/>
      </w:pPr>
      <w:bookmarkStart w:id="114" w:name="_TocUITU14"/>
      <w:r>
        <w:t>2.4 Второй уровень A2</w:t>
      </w:r>
      <w:bookmarkEnd w:id="114"/>
    </w:p>
    <w:p>
      <w:pPr>
        <w:keepNext/>
      </w:pPr>
      <w:r>
        <w:rPr>
          <w:b w:val="0"/>
          <w:sz w:val="28"/>
        </w:rPr>
        <w:t>Результат представлен на рисунке 10.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ing_A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10 - Мониторинг и поддержка систем. Диагностировать сбой и спланировать решение, узел A2</w:t>
      </w:r>
    </w:p>
    <w:p>
      <w:pPr>
        <w:keepNext w:val="0"/>
      </w:pPr>
      <w:r>
        <w:rPr>
          <w:b w:val="0"/>
          <w:sz w:val="28"/>
        </w:rPr>
        <w:t>Входы (I): Зарегистрированный инцидент, Сведения о ресурсах.</w:t>
      </w:r>
    </w:p>
    <w:p>
      <w:pPr>
        <w:keepNext w:val="0"/>
      </w:pPr>
      <w:r>
        <w:rPr>
          <w:b w:val="0"/>
          <w:sz w:val="28"/>
        </w:rPr>
        <w:t>Управление (C): SLA, Регламент инцидентов, Регламент изменений.</w:t>
      </w:r>
    </w:p>
    <w:p>
      <w:pPr>
        <w:keepNext w:val="0"/>
      </w:pPr>
      <w:r>
        <w:rPr>
          <w:b w:val="0"/>
          <w:sz w:val="28"/>
        </w:rPr>
        <w:t>Выходы (O): План восстановления.</w:t>
      </w:r>
    </w:p>
    <w:p>
      <w:pPr>
        <w:keepNext w:val="0"/>
      </w:pPr>
      <w:r>
        <w:rPr>
          <w:b w:val="0"/>
          <w:sz w:val="28"/>
        </w:rPr>
        <w:t>Механизмы (M): БД метрик и инцидентов, Инженер мониторинга, Системный администратор.</w:t>
      </w:r>
    </w:p>
    <w:p>
      <w:pPr>
        <w:keepNext w:val="0"/>
      </w:pPr>
      <w:r>
        <w:rPr>
          <w:b w:val="0"/>
          <w:sz w:val="28"/>
        </w:rPr>
        <w:t>A21 назначает профильного исполнителя и фиксирует принятие. A22 изучает журналы, конфигурации и зависимости. A23 согласует действия, риск и план отката. При необходимости привлекается L3; смена исполнителя не сбрасывает исходный срок.</w:t>
      </w:r>
    </w:p>
    <w:p>
      <w:pPr>
        <w:pStyle w:val="Heading3"/>
        <w:pageBreakBefore/>
        <w:spacing w:after="280"/>
      </w:pPr>
      <w:bookmarkStart w:id="115" w:name="_TocUITU15"/>
      <w:r>
        <w:t>2.5 Второй уровень A3</w:t>
      </w:r>
      <w:bookmarkEnd w:id="115"/>
    </w:p>
    <w:p>
      <w:pPr>
        <w:keepNext/>
      </w:pPr>
      <w:r>
        <w:rPr>
          <w:b w:val="0"/>
          <w:sz w:val="28"/>
        </w:rPr>
        <w:t>Результат представлен на рисунке 11.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ing_A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11 - Мониторинг и поддержка систем. Восстановить работу услуги, узел A3</w:t>
      </w:r>
    </w:p>
    <w:p>
      <w:pPr>
        <w:keepNext w:val="0"/>
      </w:pPr>
      <w:r>
        <w:rPr>
          <w:b w:val="0"/>
          <w:sz w:val="28"/>
        </w:rPr>
        <w:t>Входы (I): План восстановления.</w:t>
      </w:r>
    </w:p>
    <w:p>
      <w:pPr>
        <w:keepNext w:val="0"/>
      </w:pPr>
      <w:r>
        <w:rPr>
          <w:b w:val="0"/>
          <w:sz w:val="28"/>
        </w:rPr>
        <w:t>Управление (C): SLA, Регламент изменений.</w:t>
      </w:r>
    </w:p>
    <w:p>
      <w:pPr>
        <w:keepNext w:val="0"/>
      </w:pPr>
      <w:r>
        <w:rPr>
          <w:b w:val="0"/>
          <w:sz w:val="28"/>
        </w:rPr>
        <w:t>Выходы (O): Восстановленная услуга и решение.</w:t>
      </w:r>
    </w:p>
    <w:p>
      <w:pPr>
        <w:keepNext w:val="0"/>
      </w:pPr>
      <w:r>
        <w:rPr>
          <w:b w:val="0"/>
          <w:sz w:val="28"/>
        </w:rPr>
        <w:t>Механизмы (M): Zabbix / Prometheus, БД метрик и инцидентов, Системный администратор.</w:t>
      </w:r>
    </w:p>
    <w:p>
      <w:pPr>
        <w:keepNext w:val="0"/>
      </w:pPr>
      <w:r>
        <w:rPr>
          <w:b w:val="0"/>
          <w:sz w:val="28"/>
        </w:rPr>
        <w:t>A31 выполняет согласованное восстановление. A32 проверяет работоспособность затронутых ресурсов и зависимых услуг. A33 записывает выполненные действия и переводит карточку в «Решена». Автоматического исполнения команд инфраструктуры учебная ITSM не выполняет.</w:t>
      </w:r>
    </w:p>
    <w:p>
      <w:pPr>
        <w:pStyle w:val="Heading3"/>
        <w:pageBreakBefore/>
        <w:spacing w:after="280"/>
      </w:pPr>
      <w:bookmarkStart w:id="116" w:name="_TocUITU16"/>
      <w:r>
        <w:t>2.6 Второй уровень A4</w:t>
      </w:r>
      <w:bookmarkEnd w:id="116"/>
    </w:p>
    <w:p>
      <w:pPr>
        <w:keepNext/>
      </w:pPr>
      <w:r>
        <w:rPr>
          <w:b w:val="0"/>
          <w:sz w:val="28"/>
        </w:rPr>
        <w:t>Результат представлен на рисунке 12.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ing_A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12 - Мониторинг и поддержка систем. Подтвердить результат и закрыть инцидент, узел A4</w:t>
      </w:r>
    </w:p>
    <w:p>
      <w:pPr>
        <w:keepNext w:val="0"/>
      </w:pPr>
      <w:r>
        <w:rPr>
          <w:b w:val="0"/>
          <w:sz w:val="28"/>
        </w:rPr>
        <w:t>Входы (I): Восстановленная услуга и решение.</w:t>
      </w:r>
    </w:p>
    <w:p>
      <w:pPr>
        <w:keepNext w:val="0"/>
      </w:pPr>
      <w:r>
        <w:rPr>
          <w:b w:val="0"/>
          <w:sz w:val="28"/>
        </w:rPr>
        <w:t>Управление (C): SLA, Пороги мониторинга, Регламент инцидентов.</w:t>
      </w:r>
    </w:p>
    <w:p>
      <w:pPr>
        <w:keepNext w:val="0"/>
      </w:pPr>
      <w:r>
        <w:rPr>
          <w:b w:val="0"/>
          <w:sz w:val="28"/>
        </w:rPr>
        <w:t>Выходы (O): Восстановленная услуга, Отчёт по SLA.</w:t>
      </w:r>
    </w:p>
    <w:p>
      <w:pPr>
        <w:keepNext w:val="0"/>
      </w:pPr>
      <w:r>
        <w:rPr>
          <w:b w:val="0"/>
          <w:sz w:val="28"/>
        </w:rPr>
        <w:t>Механизмы (M): Zabbix / Prometheus, БД метрик и инцидентов, Инженер мониторинга, Системный администратор.</w:t>
      </w:r>
    </w:p>
    <w:p>
      <w:pPr>
        <w:keepNext w:val="0"/>
      </w:pPr>
      <w:r>
        <w:rPr>
          <w:b w:val="0"/>
          <w:sz w:val="28"/>
        </w:rPr>
        <w:t>A41 проверяет контрольные метрики после восстановления. A42 получает подтверждение заказчика; при несогласии инцидент возвращается в работу с сохранением истории. A43 закрывает подтверждённый инцидент и сравнивает время с целевым сроком SLA.</w:t>
      </w:r>
    </w:p>
    <w:p>
      <w:pPr>
        <w:pStyle w:val="Heading2"/>
        <w:pageBreakBefore/>
        <w:spacing w:after="280"/>
      </w:pPr>
      <w:bookmarkStart w:id="117" w:name="_TocUITU17"/>
      <w:r>
        <w:t>3. Проверка полноты и согласованности</w:t>
      </w:r>
      <w:bookmarkEnd w:id="117"/>
    </w:p>
    <w:p>
      <w:pPr>
        <w:keepNext w:val="0"/>
      </w:pPr>
      <w:r>
        <w:rPr>
          <w:b w:val="0"/>
          <w:sz w:val="28"/>
        </w:rPr>
        <w:t>Получено 12 диаграмм: два контекста, две декомпозиции первого уровня и восемь декомпозиций второго уровня. Каждое дерево содержит один контекстный блок, четыре блока первого уровня и двенадцать блоков второго уровня. Нераскрытых функций первого уровня нет.</w:t>
      </w:r>
    </w:p>
    <w:p>
      <w:pPr>
        <w:keepNext/>
      </w:pPr>
      <w:r>
        <w:rPr>
          <w:b w:val="0"/>
          <w:sz w:val="28"/>
        </w:rPr>
        <w:t>Данные представлены в таблице 2.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2 - Балансировка родительских и дочерних диаграмм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685"/>
        <w:gridCol w:w="3685"/>
      </w:tblGrid>
      <w:tr>
        <w:trPr>
          <w:tblHeader/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Модель и узел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Вход дочерней диаграммы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Выход дочерней диаграммы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 ВМ, A1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Заявка заказчика, Параметры ВМ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Согласованная спецификация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 ВМ, A2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Согласованная спецификация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Созданная ВМ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 ВМ, A3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Созданная ВМ, Данные доступа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Настроенная ВМ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 ВМ, A4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Настроенная ВМ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Работающая ВМ, Данные подключения, Акт предоставления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Мониторинг, A1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Метрики агентов, Обращение заказчика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Зарегистрированный инцидент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Мониторинг, A2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Зарегистрированный инцидент, Сведения о ресурсах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План восстановления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Мониторинг, A3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План восстановления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Восстановленная услуга и решение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Мониторинг, A4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Восстановленная услуга и решение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Восстановленная услуга, Отчёт по SLA</w:t>
            </w:r>
          </w:p>
        </w:tc>
      </w:tr>
    </w:tbl>
    <w:p>
      <w:pPr>
        <w:keepNext w:val="0"/>
      </w:pPr>
      <w:r>
        <w:rPr>
          <w:b w:val="0"/>
          <w:sz w:val="28"/>
        </w:rPr>
        <w:t>На втором уровне сохранены входы и выходы родительского блока; его управляющие воздействия и механизмы распределены между дочерними функциями. Внутренние результаты служат связями между этапами и не создают новых внешних результатов. Нумерация и подписи согласованы между рисунками и описаниями.</w:t>
      </w:r>
    </w:p>
    <w:p>
      <w:pPr>
        <w:keepNext w:val="0"/>
      </w:pPr>
      <w:r>
        <w:rPr>
          <w:b w:val="0"/>
          <w:sz w:val="28"/>
        </w:rPr>
        <w:t>Редактируемые файлы.drawio, векторные SVG и PNG высокого разрешения сохранены в diagrams. Для модели аренды используется префикс vps, для мониторинга - monitoring. Сведения об узлах и ICOM находятся в idef0-index.json. Учёт инцидентов и сроков реализуется в работе №6; развёртывание ВМ и сбор метрик остаются операциями профильных систем.</w:t>
      </w:r>
    </w:p>
    <w:p>
      <w:pPr>
        <w:pStyle w:val="Heading1"/>
        <w:spacing w:after="280"/>
      </w:pPr>
      <w:bookmarkStart w:id="118" w:name="_TocUITU18"/>
      <w:r>
        <w:t>Вывод по работе</w:t>
      </w:r>
      <w:bookmarkEnd w:id="118"/>
    </w:p>
    <w:p>
      <w:pPr>
        <w:keepNext w:val="0"/>
      </w:pPr>
      <w:r>
        <w:rPr>
          <w:b w:val="0"/>
          <w:sz w:val="28"/>
        </w:rPr>
        <w:t>Построены модели аренды виртуальных серверов и мониторинга с поддержкой ООО «ТехноСервис». Для каждой услуги выполнены контекст, декомпозиция на четыре функции и второй уровень всех четырёх функций. Всего разработано 12 диаграмм в оформлении предоставленного образца.</w:t>
      </w:r>
    </w:p>
    <w:p>
      <w:pPr>
        <w:keepNext w:val="0"/>
      </w:pPr>
      <w:r>
        <w:rPr>
          <w:b w:val="0"/>
          <w:sz w:val="28"/>
        </w:rPr>
        <w:t>Определены ICOM и промежуточные результаты, проверены балансировка и полнота деревьев. Модели сохраняют каталог, технические ресурсы и условия SLA единого проекта и показывают контрольные точки предоставления и восстановления услуг.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widowControl/>
      <w:spacing w:before="0" w:after="0" w:line="240" w:lineRule="auto"/>
      <w:ind w:firstLine="709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="240" w:lineRule="auto"/>
      <w:ind w:firstLine="709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0" w:after="0" w:line="240" w:lineRule="auto"/>
      <w:ind w:firstLine="709"/>
      <w:outlineLvl w:val="2"/>
    </w:pPr>
    <w:rPr>
      <w:rFonts w:ascii="Times New Roman" w:hAnsi="Times New Roman" w:eastAsia="Times New Roman" w:cs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40" w:lineRule="auto" w:before="0" w:after="0"/>
      <w:ind w:firstLine="0"/>
      <w:jc w:val="center"/>
    </w:pPr>
    <w:rPr>
      <w:rFonts w:ascii="Times New Roman" w:hAnsi="Times New Roman" w:eastAsia="Times New Roman" w:cs="Times New Roman"/>
      <w:b/>
      <w:bCs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widowControl/>
      <w:spacing w:before="0" w:after="0" w:line="360" w:lineRule="auto"/>
      <w:ind w:firstLine="709"/>
      <w:outlineLvl w:val="9"/>
    </w:pPr>
    <w:rPr>
      <w:rFonts w:ascii="Times New Roman" w:hAnsi="Times New Roman" w:eastAsia="Times New Roman" w:cs="Times New Roman"/>
      <w:color w:val="000000"/>
      <w:sz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keepNext w:val="0"/>
      <w:tabs>
        <w:tab w:pos="9354" w:val="right" w:leader="dot"/>
        <w:tab w:pos="9354" w:val="right" w:leader="dot"/>
      </w:tabs>
      <w:spacing w:line="240" w:lineRule="auto" w:before="0" w:after="0"/>
      <w:ind w:left="0" w:firstLine="0"/>
    </w:pPr>
    <w:rPr>
      <w:rFonts w:ascii="Times New Roman" w:hAnsi="Times New Roman"/>
      <w:color w:val="000000"/>
      <w:sz w:val="24"/>
    </w:rPr>
  </w:style>
  <w:style w:type="paragraph" w:customStyle="1" w:styleId="TOC2">
    <w:name w:val="TOC 2"/>
    <w:pPr>
      <w:keepNext w:val="0"/>
      <w:tabs>
        <w:tab w:pos="9354" w:val="right" w:leader="dot"/>
        <w:tab w:pos="9354" w:val="right" w:leader="dot"/>
      </w:tabs>
      <w:spacing w:line="240" w:lineRule="auto" w:before="0" w:after="0"/>
      <w:ind w:left="227" w:firstLine="0"/>
    </w:pPr>
    <w:rPr>
      <w:rFonts w:ascii="Times New Roman" w:hAnsi="Times New Roman"/>
      <w:color w:val="000000"/>
      <w:sz w:val="24"/>
    </w:rPr>
  </w:style>
  <w:style w:type="paragraph" w:customStyle="1" w:styleId="TOC3">
    <w:name w:val="TOC 3"/>
    <w:pPr>
      <w:keepNext w:val="0"/>
      <w:tabs>
        <w:tab w:pos="9354" w:val="right" w:leader="dot"/>
        <w:tab w:pos="9354" w:val="right" w:leader="dot"/>
      </w:tabs>
      <w:spacing w:line="240" w:lineRule="auto" w:before="0" w:after="0"/>
      <w:ind w:left="454" w:firstLine="0"/>
    </w:pPr>
    <w:rPr>
      <w:rFonts w:ascii="Times New Roman" w:hAnsi="Times New Roman"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№5. Методология функционального моделирования IDEF0</dc:title>
  <dc:subject>Управление информационно-технологическими услугами. ООО «ТехноСервис»</dc:subject>
  <dc:creator>Тарасов Арсений Максимович; Дементиевский Дмитрий Максимович; Тыцкий Богдан Максимович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