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№5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1. Выбор услуг и правила моделирования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4">
            <w:r>
              <w:t>2. Аренда виртуальных серверов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5">
            <w:r>
              <w:t>2.1 Контекстная диаграмма A-0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6">
            <w:r>
              <w:t>2.2 Декомпозиция первого уровня A0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7">
            <w:r>
              <w:t>2.3 Второй уровень A1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8">
            <w:r>
              <w:t>2.4 Второй уровень A2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9">
            <w:r>
              <w:t>2.5 Второй уровень A3</w:t>
            </w:r>
            <w:r>
              <w:tab/>
            </w:r>
            <w:r>
              <w:t>9</w:t>
            </w:r>
          </w:hyperlink>
        </w:p>
        <w:p>
          <w:pPr>
            <w:pStyle w:val="TOC3"/>
          </w:pPr>
          <w:hyperlink w:anchor="_TocUITU10">
            <w:r>
              <w:t>2.6 Второй уровень A4</w:t>
            </w:r>
            <w:r>
              <w:tab/>
            </w:r>
            <w:r>
              <w:t>10</w:t>
            </w:r>
          </w:hyperlink>
        </w:p>
        <w:p>
          <w:pPr>
            <w:pStyle w:val="TOC2"/>
          </w:pPr>
          <w:hyperlink w:anchor="_TocUITU11">
            <w:r>
              <w:t>3. Мониторинг и поддержка систем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2">
            <w:r>
              <w:t>3.1 Контекстная диаграмма A-0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3">
            <w:r>
              <w:t>3.2 Декомпозиция первого уровня A0</w:t>
            </w:r>
            <w:r>
              <w:tab/>
            </w:r>
            <w:r>
              <w:t>12</w:t>
            </w:r>
          </w:hyperlink>
        </w:p>
        <w:p>
          <w:pPr>
            <w:pStyle w:val="TOC3"/>
          </w:pPr>
          <w:hyperlink w:anchor="_TocUITU14">
            <w:r>
              <w:t>3.3 Второй уровень A1</w:t>
            </w:r>
            <w:r>
              <w:tab/>
            </w:r>
            <w:r>
              <w:t>13</w:t>
            </w:r>
          </w:hyperlink>
        </w:p>
        <w:p>
          <w:pPr>
            <w:pStyle w:val="TOC3"/>
          </w:pPr>
          <w:hyperlink w:anchor="_TocUITU15">
            <w:r>
              <w:t>3.4 Второй уровень A2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6">
            <w:r>
              <w:t>3.5 Второй уровень A3</w:t>
            </w:r>
            <w:r>
              <w:tab/>
            </w:r>
            <w:r>
              <w:t>15</w:t>
            </w:r>
          </w:hyperlink>
        </w:p>
        <w:p>
          <w:pPr>
            <w:pStyle w:val="TOC3"/>
          </w:pPr>
          <w:hyperlink w:anchor="_TocUITU17">
            <w:r>
              <w:t>3.6 Второй уровень A4</w:t>
            </w:r>
            <w:r>
              <w:tab/>
            </w:r>
            <w:r>
              <w:t>16</w:t>
            </w:r>
          </w:hyperlink>
        </w:p>
        <w:p>
          <w:pPr>
            <w:pStyle w:val="TOC2"/>
          </w:pPr>
          <w:hyperlink w:anchor="_TocUITU18">
            <w:r>
              <w:t>4. Проверка полноты и согласованности</w:t>
            </w:r>
            <w:r>
              <w:tab/>
            </w:r>
            <w:r>
              <w:t>17</w:t>
            </w:r>
          </w:hyperlink>
        </w:p>
        <w:p>
          <w:pPr>
            <w:pStyle w:val="TOC1"/>
          </w:pPr>
          <w:hyperlink w:anchor="_TocUITU19">
            <w:r>
              <w:t>Вывод по работе</w:t>
            </w:r>
            <w:r>
              <w:tab/>
            </w:r>
            <w:r>
              <w:t>18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построить функциональные модели предоставления двух ИТ-услуг ООО «ТехноСервис» в нотации IDEF0. Для каждой услуги разработать контекстную диаграмму, декомпозицию первого уровня на четыре функции и второй уровень для каждой функции, определить входы, выходы, управление и механизмы.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1. Выбор услуг и правила моделирования</w:t>
      </w:r>
      <w:bookmarkEnd w:id="103"/>
    </w:p>
    <w:p>
      <w:pPr>
        <w:keepNext w:val="0"/>
      </w:pPr>
      <w:r>
        <w:rPr>
          <w:b w:val="0"/>
          <w:sz w:val="28"/>
        </w:rPr>
        <w:t>Выбраны услуги разных линий: аренда виртуальных серверов из линии «Доступ/аренда» и мониторинг с поддержкой из линии «Управление». Механизмы соответствуют сервисно-ресурсным моделям предприятия; управляющие правила согласованы с SLA практической работы №4.</w:t>
      </w:r>
    </w:p>
    <w:p>
      <w:pPr>
        <w:keepNext w:val="0"/>
      </w:pPr>
      <w:r>
        <w:rPr>
          <w:b w:val="0"/>
          <w:sz w:val="28"/>
        </w:rPr>
        <w:t>В IDEF0 входы подходят слева, выходы отходят справа, управление поступает сверху, механизмы - снизу. Блоки названы глаголами. Контекст A-0 содержит функцию A0; диаграмма A0 раскрывает её на A1, A2, A3 и A4. Каждый из четырёх блоков раскрыт на три функции второго уровня.</w:t>
      </w:r>
    </w:p>
    <w:p>
      <w:pPr>
        <w:keepNext w:val="0"/>
      </w:pPr>
      <w:r>
        <w:rPr>
          <w:b w:val="0"/>
          <w:sz w:val="28"/>
        </w:rPr>
        <w:t>Листы выполнены в стиле образца: светлый фон, тонкие чёрные контуры, ортогональные связи, отдельные подписи ICOM, номер блока в правом нижнем углу, рамка и штамп с узлом, названием и номером листа. Для каждой услуги используется собственное дерево нумерации.</w:t>
      </w:r>
    </w:p>
    <w:p>
      <w:pPr>
        <w:keepNext w:val="0"/>
      </w:pPr>
      <w:r>
        <w:rPr>
          <w:b w:val="0"/>
          <w:sz w:val="28"/>
        </w:rPr>
        <w:t>Границы моделей охватывают полный путь от получения исходных данных до предоставления согласованного результата. Внешние ИТ-продукты выступают механизмами; функции описывают деятельность по оказанию услуг.</w:t>
      </w:r>
    </w:p>
    <w:p>
      <w:pPr>
        <w:keepNext/>
      </w:pPr>
      <w:r>
        <w:rPr>
          <w:b w:val="0"/>
          <w:sz w:val="28"/>
        </w:rPr>
        <w:t>Данные представлены в таблице 1.1.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1.1 - Состав комплекта моделей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71"/>
        <w:gridCol w:w="2211"/>
        <w:gridCol w:w="2438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Контекст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Первый уровень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Второй уровень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</w:tbl>
    <w:p>
      <w:pPr>
        <w:pStyle w:val="Heading2"/>
        <w:pageBreakBefore/>
        <w:spacing w:after="280"/>
      </w:pPr>
      <w:bookmarkStart w:id="104" w:name="_TocUITU4"/>
      <w:r>
        <w:t>2. Аренда виртуальных серверов</w:t>
      </w:r>
      <w:bookmarkEnd w:id="104"/>
    </w:p>
    <w:p>
      <w:pPr>
        <w:pStyle w:val="Heading3"/>
        <w:spacing w:after="280"/>
      </w:pPr>
      <w:bookmarkStart w:id="105" w:name="_TocUITU5"/>
      <w:r>
        <w:t>2.1 Контекстная диаграмма A-0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2.1.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2" name="Picture 2" descr="Рисунок 2.1. Аренда виртуальных серверов. Контекстная диаграмма A-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minus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2.1 — Аренда виртуальных серверов. Контекстная диаграмма A-0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ВМ, Данные доступа.</w:t>
      </w:r>
    </w:p>
    <w:p>
      <w:pPr>
        <w:keepNext w:val="0"/>
      </w:pPr>
      <w:r>
        <w:rPr>
          <w:b w:val="0"/>
          <w:sz w:val="28"/>
        </w:rPr>
        <w:t>Управление (C): SLA, Каталог и тарифы,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pStyle w:val="Heading3"/>
        <w:pageBreakBefore/>
        <w:spacing w:after="280"/>
      </w:pPr>
      <w:bookmarkStart w:id="106" w:name="_TocUITU6"/>
      <w:r>
        <w:t>2.2 Декомпозиция первого уровня A0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2.2.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3" name="Picture 3" descr="Рисунок 2.2. Аренда виртуальных серверов. Декомпозиция A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2.2 — Аренда виртуальных серверов. Декомпозиция A0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A1. Согласовать заявку и ресурсы. Результат: Согласованная спецификация.</w:t>
      </w:r>
    </w:p>
    <w:p>
      <w:pPr>
        <w:keepNext w:val="0"/>
      </w:pPr>
      <w:r>
        <w:rPr>
          <w:b w:val="0"/>
          <w:sz w:val="28"/>
        </w:rPr>
        <w:t>A2. Развернуть виртуальный сервер. Результат: Созданная ВМ.</w:t>
      </w:r>
    </w:p>
    <w:p>
      <w:pPr>
        <w:keepNext w:val="0"/>
      </w:pPr>
      <w:r>
        <w:rPr>
          <w:b w:val="0"/>
          <w:sz w:val="28"/>
        </w:rPr>
        <w:t>A3. Настроить доступ и защиту. Результат: Настроенная ВМ.</w:t>
      </w:r>
    </w:p>
    <w:p>
      <w:pPr>
        <w:keepNext w:val="0"/>
      </w:pPr>
      <w:r>
        <w:rPr>
          <w:b w:val="0"/>
          <w:sz w:val="28"/>
        </w:rPr>
        <w:t>A4. Проверить и передать сервер. Результат: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07" w:name="_TocUITU7"/>
      <w:r>
        <w:t>2.3 Второй уровень A1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2.3.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4" name="Picture 4" descr="Рисунок 2.3. Аренда виртуальных серверов. Согласовать заявку и ресурсы, узел A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2.3 — Аренда виртуальных серверов. Согласовать заявку и ресурсы, узел A1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ВМ.</w:t>
      </w:r>
    </w:p>
    <w:p>
      <w:pPr>
        <w:keepNext w:val="0"/>
      </w:pPr>
      <w:r>
        <w:rPr>
          <w:b w:val="0"/>
          <w:sz w:val="28"/>
        </w:rPr>
        <w:t>Управление (C): SLA, Каталог и тарифы.</w:t>
      </w:r>
    </w:p>
    <w:p>
      <w:pPr>
        <w:keepNext w:val="0"/>
      </w:pPr>
      <w:r>
        <w:rPr>
          <w:b w:val="0"/>
          <w:sz w:val="28"/>
        </w:rPr>
        <w:t>Выходы (O): Согласованная спецификация.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A11 проверяет число vCPU, RAM и SSD, назначение ВМ и контакт заказчика. A12 сопоставляет свободную ёмкость с тарифом 500 руб. за месячный комплект. A13 согласует спецификацию; неполная заявка возвращается на уточнение до развёртывания.</w:t>
      </w:r>
    </w:p>
    <w:p>
      <w:pPr>
        <w:pStyle w:val="Heading3"/>
        <w:pageBreakBefore/>
        <w:spacing w:after="280"/>
      </w:pPr>
      <w:bookmarkStart w:id="108" w:name="_TocUITU8"/>
      <w:r>
        <w:t>2.4 Второй уровень A2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2.4.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5" name="Picture 5" descr="Рисунок 2.4. Аренда виртуальных серверов. Развернуть виртуальный сервер, узел A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2.4 — Аренда виртуальных серверов. Развернуть виртуальный сервер, узел A2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Согласованная спецификация.</w:t>
      </w:r>
    </w:p>
    <w:p>
      <w:pPr>
        <w:keepNext w:val="0"/>
      </w:pPr>
      <w:r>
        <w:rPr>
          <w:b w:val="0"/>
          <w:sz w:val="28"/>
        </w:rPr>
        <w:t>Управление (C): Регламент выдачи ВМ.</w:t>
      </w:r>
    </w:p>
    <w:p>
      <w:pPr>
        <w:keepNext w:val="0"/>
      </w:pPr>
      <w:r>
        <w:rPr>
          <w:b w:val="0"/>
          <w:sz w:val="28"/>
        </w:rPr>
        <w:t>Выходы (O): Созданная ВМ.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keepNext w:val="0"/>
      </w:pPr>
      <w:r>
        <w:rPr>
          <w:b w:val="0"/>
          <w:sz w:val="28"/>
        </w:rPr>
        <w:t>A21 резервирует вычислительный пул и место на СХД. A22 создаёт ВМ по утверждённому шаблону. A23 настраивает базовую ОС. Результат этого этапа ещё не является выданной заказчику услугой: права и изоляция проверяются отдельно.</w:t>
      </w:r>
    </w:p>
    <w:p>
      <w:pPr>
        <w:pStyle w:val="Heading3"/>
        <w:pageBreakBefore/>
        <w:spacing w:after="280"/>
      </w:pPr>
      <w:bookmarkStart w:id="109" w:name="_TocUITU9"/>
      <w:r>
        <w:t>2.5 Второй уровень A3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2.5.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6" name="Picture 6" descr="Рисунок 2.5. Аренда виртуальных серверов. Настроить доступ и защиту, узел A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2.5 — Аренда виртуальных серверов. Настроить доступ и защиту, узел A3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Созданная ВМ, Данные доступа.</w:t>
      </w:r>
    </w:p>
    <w:p>
      <w:pPr>
        <w:keepNext w:val="0"/>
      </w:pPr>
      <w:r>
        <w:rPr>
          <w:b w:val="0"/>
          <w:sz w:val="28"/>
        </w:rPr>
        <w:t>Управление (C):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Настроенная ВМ.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A31 создаёт согласованные учётные записи. A32 применяет настройки сети и разграничение доступа. A33 проверяет изоляцию и соответствие требованиям ИБ. При отрицательной проверке настройки исправляются с повторным контролем.</w:t>
      </w:r>
    </w:p>
    <w:p>
      <w:pPr>
        <w:pStyle w:val="Heading3"/>
        <w:pageBreakBefore/>
        <w:spacing w:after="280"/>
      </w:pPr>
      <w:bookmarkStart w:id="110" w:name="_TocUITU10"/>
      <w:r>
        <w:t>2.6 Второй уровень A4</w:t>
      </w:r>
      <w:bookmarkEnd w:id="110"/>
    </w:p>
    <w:p>
      <w:pPr>
        <w:keepNext/>
      </w:pPr>
      <w:r>
        <w:rPr>
          <w:b w:val="0"/>
          <w:sz w:val="28"/>
        </w:rPr>
        <w:t>Результат представлен на рисунке 2.6.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7" name="Picture 7" descr="Рисунок 2.6. Аренда виртуальных серверов. Проверить и передать сервер, узел A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2.6 — Аренда виртуальных серверов. Проверить и передать сервер, узел A4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Настроенная ВМ.</w:t>
      </w:r>
    </w:p>
    <w:p>
      <w:pPr>
        <w:keepNext w:val="0"/>
      </w:pPr>
      <w:r>
        <w:rPr>
          <w:b w:val="0"/>
          <w:sz w:val="28"/>
        </w:rPr>
        <w:t>Управление (C): SLA,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A41 проверяет загрузку ОС, вычислительные ресурсы и доступ. A42 включает ВМ в наблюдение. A43 передаёт заказчику сведения для подключения и оформляет акт. Пароль передаётся согласованным защищённым каналом, а не публикуется в отчёте.</w:t>
      </w:r>
    </w:p>
    <w:p>
      <w:pPr>
        <w:pStyle w:val="Heading2"/>
        <w:pageBreakBefore/>
        <w:spacing w:after="280"/>
      </w:pPr>
      <w:bookmarkStart w:id="111" w:name="_TocUITU11"/>
      <w:r>
        <w:t>3. Мониторинг и поддержка систем</w:t>
      </w:r>
      <w:bookmarkEnd w:id="111"/>
    </w:p>
    <w:p>
      <w:pPr>
        <w:pStyle w:val="Heading3"/>
        <w:spacing w:after="280"/>
      </w:pPr>
      <w:bookmarkStart w:id="112" w:name="_TocUITU12"/>
      <w:r>
        <w:t>3.1 Контекстная диаграмма A-0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3.1.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8" name="Picture 8" descr="Рисунок 3.1. Мониторинг и поддержка систем. Контекстная диаграмма A-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minus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3.1 — Мониторинг и поддержка систем. Контекстная диаграмма A-0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pStyle w:val="Heading3"/>
        <w:pageBreakBefore/>
        <w:spacing w:after="280"/>
      </w:pPr>
      <w:bookmarkStart w:id="113" w:name="_TocUITU13"/>
      <w:r>
        <w:t>3.2 Декомпозиция первого уровня A0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3.2.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9" name="Picture 9" descr="Рисунок 3.2. Мониторинг и поддержка систем. Декомпозиция A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3.2 — Мониторинг и поддержка систем. Декомпозиция A0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A1. Выявить и зарегистрировать инцидент. Результат: Зарегистрированный инцидент.</w:t>
      </w:r>
    </w:p>
    <w:p>
      <w:pPr>
        <w:keepNext w:val="0"/>
      </w:pPr>
      <w:r>
        <w:rPr>
          <w:b w:val="0"/>
          <w:sz w:val="28"/>
        </w:rPr>
        <w:t>A2. Диагностировать сбой и спланировать решение. Результат: План восстановления.</w:t>
      </w:r>
    </w:p>
    <w:p>
      <w:pPr>
        <w:keepNext w:val="0"/>
      </w:pPr>
      <w:r>
        <w:rPr>
          <w:b w:val="0"/>
          <w:sz w:val="28"/>
        </w:rPr>
        <w:t>A3. Восстановить работу услуги. Результат: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A4. Подтвердить результат и закрыть инцидент. Результат: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14" w:name="_TocUITU14"/>
      <w:r>
        <w:t>3.3 Второй уровень A1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3.3.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10" name="Picture 10" descr="Рисунок 3.3. Мониторинг и поддержка систем. Выявить и зарегистрировать инцидент, узел A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3.3 — Мониторинг и поддержка систем. Выявить и зарегистрировать инцидент, узел A1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Зарегистрированный инцидент.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мониторинга.</w:t>
      </w:r>
    </w:p>
    <w:p>
      <w:pPr>
        <w:keepNext w:val="0"/>
      </w:pPr>
      <w:r>
        <w:rPr>
          <w:b w:val="0"/>
          <w:sz w:val="28"/>
        </w:rPr>
        <w:t>A11 принимает метрики агентов и сообщения заказчика. A12 сопоставляет событие с порогами, определяет влияние и исключает ложный сигнал. A13 регистрирует подтверждённый инцидент с приоритетом, услугой и связанными КЕ; с этого времени начинается отсчёт SLA.</w:t>
      </w:r>
    </w:p>
    <w:p>
      <w:pPr>
        <w:pStyle w:val="Heading3"/>
        <w:pageBreakBefore/>
        <w:spacing w:after="280"/>
      </w:pPr>
      <w:bookmarkStart w:id="115" w:name="_TocUITU15"/>
      <w:r>
        <w:t>3.4 Второй уровень A2</w:t>
      </w:r>
      <w:bookmarkEnd w:id="115"/>
    </w:p>
    <w:p>
      <w:pPr>
        <w:keepNext/>
      </w:pPr>
      <w:r>
        <w:rPr>
          <w:b w:val="0"/>
          <w:sz w:val="28"/>
        </w:rPr>
        <w:t>Результат представлен на рисунке 3.4.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11" name="Picture 11" descr="Рисунок 3.4. Мониторинг и поддержка систем. Диагностировать сбой и спланировать решение, узел A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3.4 — Мониторинг и поддержка систем. Диагностировать сбой и спланировать решение, узел A2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Зарегистрированный инцидент,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План восстановления.</w:t>
      </w:r>
    </w:p>
    <w:p>
      <w:pPr>
        <w:keepNext w:val="0"/>
      </w:pPr>
      <w:r>
        <w:rPr>
          <w:b w:val="0"/>
          <w:sz w:val="28"/>
        </w:rPr>
        <w:t>Механизмы (M):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A21 назначает профильного исполнителя и фиксирует принятие. A22 изучает журналы, конфигурации и зависимости. A23 согласует действия, риск и план отката. При необходимости привлекается L3; смена исполнителя не сбрасывает исходный срок.</w:t>
      </w:r>
    </w:p>
    <w:p>
      <w:pPr>
        <w:pStyle w:val="Heading3"/>
        <w:pageBreakBefore/>
        <w:spacing w:after="280"/>
      </w:pPr>
      <w:bookmarkStart w:id="116" w:name="_TocUITU16"/>
      <w:r>
        <w:t>3.5 Второй уровень A3</w:t>
      </w:r>
      <w:bookmarkEnd w:id="116"/>
    </w:p>
    <w:p>
      <w:pPr>
        <w:keepNext/>
      </w:pPr>
      <w:r>
        <w:rPr>
          <w:b w:val="0"/>
          <w:sz w:val="28"/>
        </w:rPr>
        <w:t>Результат представлен на рисунке 3.5.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12" name="Picture 12" descr="Рисунок 3.5. Мониторинг и поддержка систем. Восстановить работу услуги, узел A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3.5 — Мониторинг и поддержка систем. Восстановить работу услуги, узел A3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План восстановления.</w:t>
      </w:r>
    </w:p>
    <w:p>
      <w:pPr>
        <w:keepNext w:val="0"/>
      </w:pPr>
      <w:r>
        <w:rPr>
          <w:b w:val="0"/>
          <w:sz w:val="28"/>
        </w:rPr>
        <w:t>Управление (C): SLA,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Системный администратор.</w:t>
      </w:r>
    </w:p>
    <w:p>
      <w:pPr>
        <w:keepNext w:val="0"/>
      </w:pPr>
      <w:r>
        <w:rPr>
          <w:b w:val="0"/>
          <w:sz w:val="28"/>
        </w:rPr>
        <w:t>A31 выполняет согласованное восстановление. A32 проверяет работоспособность затронутых ресурсов и зависимых услуг. A33 записывает выполненные действия и переводит карточку в «Решена». Автоматического исполнения команд инфраструктуры учебная ITSM не выполняет.</w:t>
      </w:r>
    </w:p>
    <w:p>
      <w:pPr>
        <w:pStyle w:val="Heading3"/>
        <w:pageBreakBefore/>
        <w:spacing w:after="280"/>
      </w:pPr>
      <w:bookmarkStart w:id="117" w:name="_TocUITU17"/>
      <w:r>
        <w:t>3.6 Второй уровень A4</w:t>
      </w:r>
      <w:bookmarkEnd w:id="117"/>
    </w:p>
    <w:p>
      <w:pPr>
        <w:keepNext/>
      </w:pPr>
      <w:r>
        <w:rPr>
          <w:b w:val="0"/>
          <w:sz w:val="28"/>
        </w:rPr>
        <w:t>Результат представлен на рисунке 3.6.</w:t>
      </w:r>
    </w:p>
    <w:p>
      <w:pPr>
        <w:keepNext/>
        <w:ind w:firstLine="0"/>
        <w:jc w:val="center"/>
      </w:pPr>
      <w:r>
        <w:rPr>
          <w:b w:val="0"/>
          <w:sz w:val="28"/>
        </w:rPr>
      </w:r>
    </w:p>
    <w:p>
      <w:pPr>
        <w:keepNext/>
        <w:keepLines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940000" cy="4158000"/>
            <wp:effectExtent l="0" t="0" r="0" b="0"/>
            <wp:docPr id="13" name="Picture 13" descr="Рисунок 3.6. Мониторинг и поддержка систем. Подтвердить результат и закрыть инцидент, узел A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  <a:ln w="31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keepLines/>
      </w:pPr>
      <w:r>
        <w:t>Рисунок 3.6 — Мониторинг и поддержка систем. Подтвердить результат и закрыть инцидент, узел A4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Входы (I):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A41 проверяет контрольные метрики после восстановления. A42 получает подтверждение заказчика; при несогласии инцидент возвращается в работу с сохранением истории. A43 закрывает подтверждённый инцидент и сравнивает время с целевым сроком SLA.</w:t>
      </w:r>
    </w:p>
    <w:p>
      <w:pPr>
        <w:pStyle w:val="Heading2"/>
        <w:pageBreakBefore/>
        <w:spacing w:after="280"/>
      </w:pPr>
      <w:bookmarkStart w:id="118" w:name="_TocUITU18"/>
      <w:r>
        <w:t>4. Проверка полноты и согласованности</w:t>
      </w:r>
      <w:bookmarkEnd w:id="118"/>
    </w:p>
    <w:p>
      <w:pPr>
        <w:keepNext w:val="0"/>
      </w:pPr>
      <w:r>
        <w:rPr>
          <w:b w:val="0"/>
          <w:sz w:val="28"/>
        </w:rPr>
        <w:t>Получено 12 диаграмм: два контекста, две декомпозиции первого уровня и восемь декомпозиций второго уровня. Каждое дерево содержит один контекстный блок, четыре блока первого уровня и двенадцать блоков второго уровня. Нераскрытых функций первого уровня нет.</w:t>
      </w:r>
    </w:p>
    <w:p>
      <w:pPr>
        <w:keepNext/>
      </w:pPr>
      <w:r>
        <w:rPr>
          <w:b w:val="0"/>
          <w:sz w:val="28"/>
        </w:rPr>
        <w:t>Данные представлены в таблице 4.1.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4.1 - Балансировка родительских и дочерних диаграмм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685"/>
      </w:tblGrid>
      <w:tr>
        <w:trPr>
          <w:tblHeader/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Модель и узел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Вход дочерней диаграммы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Выход дочерней диаграммы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Заявка заказчика, Параметры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ВМ, Данные доступа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Работающая ВМ, Данные подключения, Акт предоставления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Метрики агентов, Обращение заказчика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инцидент, Сведения о ресурсах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A4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услуга, Отчёт по SLA</w:t>
            </w:r>
          </w:p>
        </w:tc>
      </w:tr>
    </w:tbl>
    <w:p>
      <w:pPr>
        <w:keepNext w:val="0"/>
      </w:pPr>
      <w:r>
        <w:rPr>
          <w:b w:val="0"/>
          <w:sz w:val="28"/>
        </w:rPr>
        <w:t>На втором уровне сохранены входы и выходы родительского блока; его управляющие воздействия и механизмы распределены между дочерними функциями. Внутренние результаты служат связями между этапами и не создают новых внешних результатов. Нумерация и подписи согласованы между рисунками и описаниями.</w:t>
      </w:r>
    </w:p>
    <w:p>
      <w:pPr>
        <w:keepNext w:val="0"/>
      </w:pPr>
      <w:r>
        <w:rPr>
          <w:b w:val="0"/>
          <w:sz w:val="28"/>
        </w:rPr>
        <w:t>Редактируемые файлы.drawio, векторные SVG и PNG высокого разрешения сохранены в diagrams. Для модели аренды используется префикс vps, для мониторинга - monitoring. Сведения об узлах и ICOM находятся в idef0-index.json. Учёт инцидентов и сроков реализуется в работе №6; развёртывание ВМ и сбор метрик остаются операциями профильных систем.</w:t>
      </w:r>
    </w:p>
    <w:p>
      <w:pPr>
        <w:pStyle w:val="Heading1"/>
        <w:spacing w:after="280"/>
      </w:pPr>
      <w:bookmarkStart w:id="119" w:name="_TocUITU19"/>
      <w:r>
        <w:t>Вывод по работе</w:t>
      </w:r>
      <w:bookmarkEnd w:id="119"/>
    </w:p>
    <w:p>
      <w:pPr>
        <w:keepNext w:val="0"/>
      </w:pPr>
      <w:r>
        <w:rPr>
          <w:b w:val="0"/>
          <w:sz w:val="28"/>
        </w:rPr>
        <w:t>Построены модели аренды виртуальных серверов и мониторинга с поддержкой ООО «ТехноСервис». Для каждой услуги выполнены контекст, декомпозиция на четыре функции и второй уровень всех четырёх функций. Всего разработано 12 диаграмм в оформлении предоставленного образца.</w:t>
      </w:r>
    </w:p>
    <w:p>
      <w:pPr>
        <w:keepNext w:val="0"/>
      </w:pPr>
      <w:r>
        <w:rPr>
          <w:b w:val="0"/>
          <w:sz w:val="28"/>
        </w:rPr>
        <w:t>Определены ICOM и промежуточные результаты, проверены балансировка и полнота деревьев. Модели сохраняют каталог, технические ресурсы и условия SLA единого проекта и показывают контрольные точки предоставления и восстановления услуг.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 w:left="0" w:right="0"/>
      <w:jc w:val="center"/>
    </w:pPr>
    <w:rPr>
      <w:rFonts w:ascii="Times New Roman" w:hAnsi="Times New Roman" w:eastAsia="Times New Roman" w:cs="Times New Roman"/>
      <w:b w:val="0"/>
      <w:bCs/>
      <w:i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№5. Методология функционального моделирования IDEF0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