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D624"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CONTEXTO:</w:t>
      </w:r>
    </w:p>
    <w:p w14:paraId="1F11F547"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La microfinanciera enfrenta un desafío crítico: necesita incrementar el crédito promedio desembolsado para mejorar su rentabilidad, pero el equipo comercial no tiene visibilidad clara sobre cómo lograrlo. La complejidad radica en el ciclo de vida de los créditos y la dinámica de la cartera.</w:t>
      </w:r>
    </w:p>
    <w:p w14:paraId="0EFB623D" w14:textId="77777777" w:rsidR="00C61980" w:rsidRPr="00C61980" w:rsidRDefault="00C61980" w:rsidP="00C61980">
      <w:pPr>
        <w:spacing w:after="0"/>
        <w:rPr>
          <w:rFonts w:ascii="Century Gothic" w:hAnsi="Century Gothic"/>
          <w:sz w:val="22"/>
          <w:szCs w:val="22"/>
        </w:rPr>
      </w:pPr>
    </w:p>
    <w:p w14:paraId="5CF46F89"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SITUACIÓN ACTUAL:</w:t>
      </w:r>
    </w:p>
    <w:p w14:paraId="2867CF82"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Crédito promedio actual: $12,500 MXN (meta: $15,000 MXN)</w:t>
      </w:r>
    </w:p>
    <w:p w14:paraId="319087EB"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Duración de cada crédito: exactamente 16 semanas</w:t>
      </w:r>
    </w:p>
    <w:p w14:paraId="10BB061C"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Cartera activa: 85,000 créditos grupales en diferentes etapas</w:t>
      </w:r>
    </w:p>
    <w:p w14:paraId="71E61B70"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Todos los créditos son grupales (5-25 integrantes por grupo)</w:t>
      </w:r>
    </w:p>
    <w:p w14:paraId="23B78B87"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Desembolsos mensuales: ~7,000 créditos nuevos</w:t>
      </w:r>
    </w:p>
    <w:p w14:paraId="53708CFD"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Finalizaciones mensuales: ~6,800 créditos</w:t>
      </w:r>
    </w:p>
    <w:p w14:paraId="1FDDA2AC"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Montos por integrante: desde $3,000 hasta $25,000 MXN</w:t>
      </w:r>
    </w:p>
    <w:p w14:paraId="14B67562" w14:textId="77777777" w:rsidR="00C61980" w:rsidRPr="00C61980" w:rsidRDefault="00C61980" w:rsidP="00C61980">
      <w:pPr>
        <w:spacing w:after="0"/>
        <w:rPr>
          <w:rFonts w:ascii="Century Gothic" w:hAnsi="Century Gothic"/>
          <w:sz w:val="22"/>
          <w:szCs w:val="22"/>
        </w:rPr>
      </w:pPr>
    </w:p>
    <w:p w14:paraId="36C1DC5C"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COMPLEJIDAD DEL PROBLEMA:</w:t>
      </w:r>
    </w:p>
    <w:p w14:paraId="462F9242"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Durante cualquier periodo de medición:</w:t>
      </w:r>
    </w:p>
    <w:p w14:paraId="2A0AC9D7"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- 30% de créditos están iniciando (semanas 1-5)</w:t>
      </w:r>
    </w:p>
    <w:p w14:paraId="7AEE0B1A"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- 45% están en periodo medio (semanas 6-11)  </w:t>
      </w:r>
    </w:p>
    <w:p w14:paraId="192CE806"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- 25% están por finalizar (semanas 12-16)</w:t>
      </w:r>
    </w:p>
    <w:p w14:paraId="6ACDE028"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Los montos varían según:</w:t>
      </w:r>
    </w:p>
    <w:p w14:paraId="771D3E49"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 Ciclo del grupo (1er crédito: $3,000-5,000; 5to ciclo: hasta $25,000)</w:t>
      </w:r>
    </w:p>
    <w:p w14:paraId="37EB7C1E"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 Historial de pago del grupo</w:t>
      </w:r>
    </w:p>
    <w:p w14:paraId="60055FA4"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 Capacidad de pago evaluada</w:t>
      </w:r>
    </w:p>
    <w:p w14:paraId="49330120"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xml:space="preserve">- El KPI de crédito promedio se calcula </w:t>
      </w:r>
      <w:proofErr w:type="gramStart"/>
      <w:r w:rsidRPr="00C61980">
        <w:rPr>
          <w:rFonts w:ascii="Century Gothic" w:hAnsi="Century Gothic"/>
          <w:sz w:val="22"/>
          <w:szCs w:val="22"/>
        </w:rPr>
        <w:t>mensualmente</w:t>
      </w:r>
      <w:proofErr w:type="gramEnd"/>
      <w:r w:rsidRPr="00C61980">
        <w:rPr>
          <w:rFonts w:ascii="Century Gothic" w:hAnsi="Century Gothic"/>
          <w:sz w:val="22"/>
          <w:szCs w:val="22"/>
        </w:rPr>
        <w:t xml:space="preserve"> pero incluye créditos en todas las etapas</w:t>
      </w:r>
    </w:p>
    <w:p w14:paraId="44BF0DB4" w14:textId="77777777" w:rsidR="00C61980" w:rsidRPr="00C61980" w:rsidRDefault="00C61980" w:rsidP="00C61980">
      <w:pPr>
        <w:spacing w:after="0"/>
        <w:rPr>
          <w:rFonts w:ascii="Century Gothic" w:hAnsi="Century Gothic"/>
          <w:sz w:val="22"/>
          <w:szCs w:val="22"/>
        </w:rPr>
      </w:pPr>
    </w:p>
    <w:p w14:paraId="707D8D80"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EJEMPLO DEL PROBLEMA:</w:t>
      </w:r>
    </w:p>
    <w:p w14:paraId="1BAA62E9"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Si en enero se mide el crédito promedio, se están mezclando:</w:t>
      </w:r>
    </w:p>
    <w:p w14:paraId="72A13E69"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Grupos que recién recibieron $5,000 por integrante (ciclo 1)</w:t>
      </w:r>
    </w:p>
    <w:p w14:paraId="2EE44412"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Grupos en semana 8 que recibieron $12,000 (ciclo 3)</w:t>
      </w:r>
    </w:p>
    <w:p w14:paraId="06143F2F"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 Grupos terminando que habían recibido $8,000 (ciclo 2)</w:t>
      </w:r>
    </w:p>
    <w:p w14:paraId="51C89CFB" w14:textId="77777777" w:rsidR="00C61980" w:rsidRPr="00C61980" w:rsidRDefault="00C61980" w:rsidP="00C61980">
      <w:pPr>
        <w:spacing w:after="0"/>
        <w:rPr>
          <w:rFonts w:ascii="Century Gothic" w:hAnsi="Century Gothic"/>
          <w:sz w:val="22"/>
          <w:szCs w:val="22"/>
        </w:rPr>
      </w:pPr>
      <w:r w:rsidRPr="00C61980">
        <w:rPr>
          <w:rFonts w:ascii="Century Gothic" w:hAnsi="Century Gothic"/>
          <w:sz w:val="22"/>
          <w:szCs w:val="22"/>
        </w:rPr>
        <w:t>Esto no le dice al asesor qué hacer HOY para mejorar el indicador.</w:t>
      </w:r>
    </w:p>
    <w:p w14:paraId="6BBAC0CF" w14:textId="77777777" w:rsidR="00C61980" w:rsidRDefault="00C61980" w:rsidP="00C61980">
      <w:pPr>
        <w:spacing w:after="0"/>
        <w:rPr>
          <w:rFonts w:ascii="Century Gothic" w:hAnsi="Century Gothic"/>
          <w:sz w:val="22"/>
          <w:szCs w:val="22"/>
        </w:rPr>
      </w:pPr>
    </w:p>
    <w:p w14:paraId="37B7780F" w14:textId="77777777" w:rsidR="00C61980" w:rsidRDefault="00C61980" w:rsidP="00C61980">
      <w:pPr>
        <w:spacing w:after="0"/>
        <w:rPr>
          <w:rFonts w:ascii="Century Gothic" w:hAnsi="Century Gothic"/>
          <w:sz w:val="22"/>
          <w:szCs w:val="22"/>
        </w:rPr>
      </w:pPr>
    </w:p>
    <w:p w14:paraId="3AF159A2" w14:textId="77777777" w:rsidR="00C61980" w:rsidRDefault="00C61980" w:rsidP="00C61980">
      <w:pPr>
        <w:spacing w:after="0"/>
        <w:rPr>
          <w:rFonts w:ascii="Century Gothic" w:hAnsi="Century Gothic"/>
          <w:sz w:val="22"/>
          <w:szCs w:val="22"/>
        </w:rPr>
      </w:pPr>
    </w:p>
    <w:p w14:paraId="573EBCFB" w14:textId="77777777" w:rsidR="00C61980" w:rsidRDefault="00C61980" w:rsidP="00C61980">
      <w:pPr>
        <w:spacing w:after="0"/>
        <w:rPr>
          <w:rFonts w:ascii="Century Gothic" w:hAnsi="Century Gothic"/>
          <w:sz w:val="22"/>
          <w:szCs w:val="22"/>
        </w:rPr>
      </w:pPr>
    </w:p>
    <w:p w14:paraId="10EF19C6" w14:textId="77777777" w:rsidR="00C61980" w:rsidRDefault="00C61980" w:rsidP="00C61980">
      <w:pPr>
        <w:spacing w:after="0"/>
        <w:rPr>
          <w:rFonts w:ascii="Century Gothic" w:hAnsi="Century Gothic"/>
          <w:sz w:val="22"/>
          <w:szCs w:val="22"/>
        </w:rPr>
      </w:pPr>
    </w:p>
    <w:p w14:paraId="3E8ACBC5" w14:textId="77777777" w:rsidR="00C61980" w:rsidRDefault="00C61980" w:rsidP="00C61980">
      <w:pPr>
        <w:spacing w:after="0"/>
        <w:rPr>
          <w:rFonts w:ascii="Century Gothic" w:hAnsi="Century Gothic"/>
          <w:sz w:val="22"/>
          <w:szCs w:val="22"/>
        </w:rPr>
      </w:pPr>
    </w:p>
    <w:p w14:paraId="498D834F" w14:textId="77777777" w:rsidR="00C61980" w:rsidRDefault="00C61980" w:rsidP="00C61980">
      <w:pPr>
        <w:spacing w:after="0"/>
        <w:rPr>
          <w:rFonts w:ascii="Century Gothic" w:hAnsi="Century Gothic"/>
          <w:sz w:val="22"/>
          <w:szCs w:val="22"/>
        </w:rPr>
      </w:pPr>
    </w:p>
    <w:p w14:paraId="14E1013D" w14:textId="77777777" w:rsidR="00C61980" w:rsidRDefault="00C61980" w:rsidP="00C61980">
      <w:pPr>
        <w:spacing w:after="0"/>
        <w:rPr>
          <w:rFonts w:ascii="Century Gothic" w:hAnsi="Century Gothic"/>
          <w:sz w:val="22"/>
          <w:szCs w:val="22"/>
        </w:rPr>
      </w:pPr>
    </w:p>
    <w:p w14:paraId="49A16600" w14:textId="0E6DC410" w:rsidR="00C61980" w:rsidRPr="00C61980" w:rsidRDefault="00E262F7" w:rsidP="00C61980">
      <w:pPr>
        <w:spacing w:after="0"/>
        <w:rPr>
          <w:rFonts w:ascii="Century Gothic" w:hAnsi="Century Gothic"/>
          <w:sz w:val="22"/>
          <w:szCs w:val="22"/>
        </w:rPr>
      </w:pPr>
      <w:r w:rsidRPr="00C61980">
        <w:rPr>
          <w:rFonts w:ascii="Century Gothic" w:hAnsi="Century Gothic"/>
          <w:sz w:val="22"/>
          <w:szCs w:val="22"/>
        </w:rPr>
        <w:lastRenderedPageBreak/>
        <w:t>1. ANÁLISIS Y COMPRENSIÓN DEL PROBLEMA</w:t>
      </w:r>
      <w:r w:rsidR="00C61980" w:rsidRPr="00C61980">
        <w:rPr>
          <w:rFonts w:ascii="Century Gothic" w:hAnsi="Century Gothic"/>
          <w:sz w:val="22"/>
          <w:szCs w:val="22"/>
        </w:rPr>
        <w:t xml:space="preserve"> (30%)</w:t>
      </w:r>
    </w:p>
    <w:p w14:paraId="4FD2E1FE" w14:textId="40B4BBC6" w:rsidR="00C61980" w:rsidRPr="00C61980" w:rsidRDefault="00C61980" w:rsidP="00C61980">
      <w:pPr>
        <w:spacing w:after="0"/>
        <w:rPr>
          <w:rFonts w:ascii="Century Gothic" w:hAnsi="Century Gothic"/>
          <w:b/>
          <w:bCs/>
          <w:sz w:val="22"/>
          <w:szCs w:val="22"/>
        </w:rPr>
      </w:pPr>
      <w:r w:rsidRPr="00C61980">
        <w:rPr>
          <w:rFonts w:ascii="Century Gothic" w:hAnsi="Century Gothic"/>
          <w:b/>
          <w:bCs/>
          <w:sz w:val="22"/>
          <w:szCs w:val="22"/>
        </w:rPr>
        <w:t>a) Explique por qué el indicador actual de "crédito promedio mensual" no ayuda a tomar decisiones</w:t>
      </w:r>
      <w:r w:rsidRPr="00C61980">
        <w:rPr>
          <w:rFonts w:ascii="Century Gothic" w:hAnsi="Century Gothic"/>
          <w:b/>
          <w:bCs/>
          <w:sz w:val="22"/>
          <w:szCs w:val="22"/>
        </w:rPr>
        <w:t>:</w:t>
      </w:r>
    </w:p>
    <w:p w14:paraId="0C084774" w14:textId="414C24F7" w:rsidR="00C61980" w:rsidRPr="00C61980" w:rsidRDefault="00C61980" w:rsidP="00C61980">
      <w:pPr>
        <w:pStyle w:val="Prrafodelista"/>
        <w:numPr>
          <w:ilvl w:val="0"/>
          <w:numId w:val="1"/>
        </w:numPr>
        <w:spacing w:after="0"/>
        <w:rPr>
          <w:rFonts w:ascii="Century Gothic" w:hAnsi="Century Gothic"/>
          <w:sz w:val="22"/>
          <w:szCs w:val="22"/>
        </w:rPr>
      </w:pPr>
      <w:r>
        <w:rPr>
          <w:rFonts w:ascii="Century Gothic" w:hAnsi="Century Gothic"/>
          <w:sz w:val="22"/>
          <w:szCs w:val="22"/>
        </w:rPr>
        <w:t xml:space="preserve">Para efectos de este ejercicio los valores evaluados no se rigen por las mismas reglas, ya que están limitados los montos </w:t>
      </w:r>
      <w:proofErr w:type="gramStart"/>
      <w:r>
        <w:rPr>
          <w:rFonts w:ascii="Century Gothic" w:hAnsi="Century Gothic"/>
          <w:sz w:val="22"/>
          <w:szCs w:val="22"/>
        </w:rPr>
        <w:t>de acuerdo al</w:t>
      </w:r>
      <w:proofErr w:type="gramEnd"/>
      <w:r>
        <w:rPr>
          <w:rFonts w:ascii="Century Gothic" w:hAnsi="Century Gothic"/>
          <w:sz w:val="22"/>
          <w:szCs w:val="22"/>
        </w:rPr>
        <w:t xml:space="preserve"> número de ciclos que lleva el grupo, cabe mencionar que cuando se analizan los ciclos por grupo, regularmente observaremos que existe una mayor cantidad de grupos nuevos que grupos con más ciclos, lo que genera dispersión en los datos del promedio.</w:t>
      </w:r>
    </w:p>
    <w:p w14:paraId="719EA04C" w14:textId="77777777" w:rsidR="00C61980" w:rsidRDefault="00C61980" w:rsidP="00C61980">
      <w:pPr>
        <w:spacing w:after="0"/>
        <w:rPr>
          <w:rFonts w:ascii="Century Gothic" w:hAnsi="Century Gothic"/>
          <w:sz w:val="22"/>
          <w:szCs w:val="22"/>
        </w:rPr>
      </w:pPr>
    </w:p>
    <w:p w14:paraId="6834BEDD" w14:textId="16F93623" w:rsidR="00C61980" w:rsidRPr="00C61980" w:rsidRDefault="00C61980" w:rsidP="00C61980">
      <w:pPr>
        <w:spacing w:after="0"/>
        <w:rPr>
          <w:rFonts w:ascii="Century Gothic" w:hAnsi="Century Gothic"/>
          <w:b/>
          <w:bCs/>
          <w:sz w:val="22"/>
          <w:szCs w:val="22"/>
        </w:rPr>
      </w:pPr>
      <w:r w:rsidRPr="00C61980">
        <w:rPr>
          <w:rFonts w:ascii="Century Gothic" w:hAnsi="Century Gothic"/>
          <w:b/>
          <w:bCs/>
          <w:sz w:val="22"/>
          <w:szCs w:val="22"/>
        </w:rPr>
        <w:t>b) Diseñe una metodología para medir el crédito promedio que sí sea accionable</w:t>
      </w:r>
    </w:p>
    <w:p w14:paraId="4279DEEA" w14:textId="38B0B94A" w:rsidR="00C61980" w:rsidRDefault="00C61980" w:rsidP="00C61980">
      <w:pPr>
        <w:pStyle w:val="Prrafodelista"/>
        <w:numPr>
          <w:ilvl w:val="0"/>
          <w:numId w:val="1"/>
        </w:numPr>
        <w:spacing w:after="0"/>
        <w:rPr>
          <w:rFonts w:ascii="Century Gothic" w:hAnsi="Century Gothic"/>
          <w:sz w:val="22"/>
          <w:szCs w:val="22"/>
        </w:rPr>
      </w:pPr>
      <w:r>
        <w:rPr>
          <w:rFonts w:ascii="Century Gothic" w:hAnsi="Century Gothic"/>
          <w:sz w:val="22"/>
          <w:szCs w:val="22"/>
        </w:rPr>
        <w:t>Para esto debemos identificar las reglas que rigen los montos por ciclo</w:t>
      </w:r>
    </w:p>
    <w:p w14:paraId="028EDEDC" w14:textId="2909BE7C" w:rsidR="00C61980" w:rsidRDefault="00C61980" w:rsidP="00C61980">
      <w:pPr>
        <w:pStyle w:val="Prrafodelista"/>
        <w:numPr>
          <w:ilvl w:val="1"/>
          <w:numId w:val="1"/>
        </w:numPr>
        <w:spacing w:after="0"/>
        <w:rPr>
          <w:rFonts w:ascii="Century Gothic" w:hAnsi="Century Gothic"/>
          <w:sz w:val="22"/>
          <w:szCs w:val="22"/>
        </w:rPr>
      </w:pPr>
      <w:r>
        <w:rPr>
          <w:rFonts w:ascii="Century Gothic" w:hAnsi="Century Gothic"/>
          <w:sz w:val="22"/>
          <w:szCs w:val="22"/>
        </w:rPr>
        <w:t>1 a 4 ciclos límite de $5,000</w:t>
      </w:r>
    </w:p>
    <w:p w14:paraId="290749B5" w14:textId="7403F06E" w:rsidR="00C61980" w:rsidRDefault="00C61980" w:rsidP="00C61980">
      <w:pPr>
        <w:pStyle w:val="Prrafodelista"/>
        <w:numPr>
          <w:ilvl w:val="1"/>
          <w:numId w:val="1"/>
        </w:numPr>
        <w:spacing w:after="0"/>
        <w:rPr>
          <w:rFonts w:ascii="Century Gothic" w:hAnsi="Century Gothic"/>
          <w:sz w:val="22"/>
          <w:szCs w:val="22"/>
        </w:rPr>
      </w:pPr>
      <w:r>
        <w:rPr>
          <w:rFonts w:ascii="Century Gothic" w:hAnsi="Century Gothic"/>
          <w:sz w:val="22"/>
          <w:szCs w:val="22"/>
        </w:rPr>
        <w:t xml:space="preserve">5 </w:t>
      </w:r>
      <w:proofErr w:type="gramStart"/>
      <w:r>
        <w:rPr>
          <w:rFonts w:ascii="Century Gothic" w:hAnsi="Century Gothic"/>
          <w:sz w:val="22"/>
          <w:szCs w:val="22"/>
        </w:rPr>
        <w:t>Ciclos</w:t>
      </w:r>
      <w:proofErr w:type="gramEnd"/>
      <w:r>
        <w:rPr>
          <w:rFonts w:ascii="Century Gothic" w:hAnsi="Century Gothic"/>
          <w:sz w:val="22"/>
          <w:szCs w:val="22"/>
        </w:rPr>
        <w:t xml:space="preserve"> o más límite de $25,000</w:t>
      </w:r>
    </w:p>
    <w:p w14:paraId="39A312E6" w14:textId="6E9694F1" w:rsidR="00C61980" w:rsidRDefault="00C61980" w:rsidP="00C61980">
      <w:pPr>
        <w:pStyle w:val="Prrafodelista"/>
        <w:numPr>
          <w:ilvl w:val="0"/>
          <w:numId w:val="1"/>
        </w:numPr>
        <w:spacing w:after="0"/>
        <w:rPr>
          <w:rFonts w:ascii="Century Gothic" w:hAnsi="Century Gothic"/>
          <w:sz w:val="22"/>
          <w:szCs w:val="22"/>
        </w:rPr>
      </w:pPr>
      <w:r>
        <w:rPr>
          <w:rFonts w:ascii="Century Gothic" w:hAnsi="Century Gothic"/>
          <w:sz w:val="22"/>
          <w:szCs w:val="22"/>
        </w:rPr>
        <w:t>Ahora se debe generar los promedios de desembolso de acuerdo con está segmentación para tener una relación justa</w:t>
      </w:r>
      <w:r w:rsidR="0031327E">
        <w:rPr>
          <w:rFonts w:ascii="Century Gothic" w:hAnsi="Century Gothic"/>
          <w:sz w:val="22"/>
          <w:szCs w:val="22"/>
        </w:rPr>
        <w:t xml:space="preserve"> y comenzar a medir los desembolsos que ya se tienen vs los que están próximos a salir</w:t>
      </w:r>
    </w:p>
    <w:p w14:paraId="1711C577" w14:textId="54F5F1DA" w:rsidR="00C61980" w:rsidRDefault="00C61980" w:rsidP="00C61980">
      <w:pPr>
        <w:pStyle w:val="Prrafodelista"/>
        <w:numPr>
          <w:ilvl w:val="0"/>
          <w:numId w:val="1"/>
        </w:numPr>
        <w:spacing w:after="0"/>
        <w:rPr>
          <w:rFonts w:ascii="Century Gothic" w:hAnsi="Century Gothic"/>
          <w:sz w:val="22"/>
          <w:szCs w:val="22"/>
        </w:rPr>
      </w:pPr>
      <w:r>
        <w:rPr>
          <w:rFonts w:ascii="Century Gothic" w:hAnsi="Century Gothic"/>
          <w:sz w:val="22"/>
          <w:szCs w:val="22"/>
        </w:rPr>
        <w:t>A partir de estos momentos se pueden definir acciones para cada segmentación, ejemplo:</w:t>
      </w:r>
    </w:p>
    <w:p w14:paraId="55901B98" w14:textId="26822E7E" w:rsidR="00C61980" w:rsidRDefault="00C61980" w:rsidP="00C61980">
      <w:pPr>
        <w:pStyle w:val="Prrafodelista"/>
        <w:numPr>
          <w:ilvl w:val="1"/>
          <w:numId w:val="1"/>
        </w:numPr>
        <w:spacing w:after="0"/>
        <w:rPr>
          <w:rFonts w:ascii="Century Gothic" w:hAnsi="Century Gothic"/>
          <w:sz w:val="22"/>
          <w:szCs w:val="22"/>
        </w:rPr>
      </w:pPr>
      <w:r>
        <w:rPr>
          <w:rFonts w:ascii="Century Gothic" w:hAnsi="Century Gothic"/>
          <w:sz w:val="22"/>
          <w:szCs w:val="22"/>
        </w:rPr>
        <w:t>Aumentar los montos mínimos para los grupos de ciclo 1 a 4</w:t>
      </w:r>
    </w:p>
    <w:p w14:paraId="547CD282" w14:textId="34B0A5C2" w:rsidR="00C61980" w:rsidRPr="00C61980" w:rsidRDefault="00C61980" w:rsidP="00C61980">
      <w:pPr>
        <w:pStyle w:val="Prrafodelista"/>
        <w:numPr>
          <w:ilvl w:val="1"/>
          <w:numId w:val="1"/>
        </w:numPr>
        <w:spacing w:after="0"/>
        <w:rPr>
          <w:rFonts w:ascii="Century Gothic" w:hAnsi="Century Gothic"/>
          <w:sz w:val="22"/>
          <w:szCs w:val="22"/>
        </w:rPr>
      </w:pPr>
      <w:r>
        <w:rPr>
          <w:rFonts w:ascii="Century Gothic" w:hAnsi="Century Gothic"/>
          <w:sz w:val="22"/>
          <w:szCs w:val="22"/>
        </w:rPr>
        <w:t>Ofrecer créditos adicionales o crear un crédito revolvente para los ciclos 5 en adelante</w:t>
      </w:r>
    </w:p>
    <w:p w14:paraId="387944F1" w14:textId="77777777" w:rsidR="00C61980" w:rsidRPr="00C61980" w:rsidRDefault="00C61980" w:rsidP="00C61980">
      <w:pPr>
        <w:spacing w:after="0"/>
        <w:rPr>
          <w:rFonts w:ascii="Century Gothic" w:hAnsi="Century Gothic"/>
          <w:sz w:val="22"/>
          <w:szCs w:val="22"/>
        </w:rPr>
      </w:pPr>
    </w:p>
    <w:p w14:paraId="4A8B0C36" w14:textId="6D787DAA" w:rsidR="00C61980" w:rsidRPr="00E262F7" w:rsidRDefault="00C61980" w:rsidP="00C61980">
      <w:pPr>
        <w:spacing w:after="0"/>
        <w:rPr>
          <w:rFonts w:ascii="Century Gothic" w:hAnsi="Century Gothic"/>
          <w:b/>
          <w:bCs/>
          <w:sz w:val="22"/>
          <w:szCs w:val="22"/>
        </w:rPr>
      </w:pPr>
      <w:r w:rsidRPr="00C61980">
        <w:rPr>
          <w:rFonts w:ascii="Century Gothic" w:hAnsi="Century Gothic"/>
          <w:b/>
          <w:bCs/>
          <w:sz w:val="22"/>
          <w:szCs w:val="22"/>
        </w:rPr>
        <w:t>c) Proponga cómo segmentar los grupos para facilitar la toma de decisiones</w:t>
      </w:r>
    </w:p>
    <w:p w14:paraId="16397E8A" w14:textId="77777777" w:rsidR="0031327E" w:rsidRDefault="0031327E" w:rsidP="0031327E">
      <w:pPr>
        <w:pStyle w:val="Prrafodelista"/>
        <w:numPr>
          <w:ilvl w:val="1"/>
          <w:numId w:val="1"/>
        </w:numPr>
        <w:spacing w:after="0"/>
        <w:rPr>
          <w:rFonts w:ascii="Century Gothic" w:hAnsi="Century Gothic"/>
          <w:sz w:val="22"/>
          <w:szCs w:val="22"/>
        </w:rPr>
      </w:pPr>
      <w:r>
        <w:rPr>
          <w:rFonts w:ascii="Century Gothic" w:hAnsi="Century Gothic"/>
          <w:sz w:val="22"/>
          <w:szCs w:val="22"/>
        </w:rPr>
        <w:t>1 a 4 ciclos límite de $5,000</w:t>
      </w:r>
    </w:p>
    <w:p w14:paraId="36B841FC" w14:textId="77777777" w:rsidR="0031327E" w:rsidRDefault="0031327E" w:rsidP="0031327E">
      <w:pPr>
        <w:pStyle w:val="Prrafodelista"/>
        <w:numPr>
          <w:ilvl w:val="1"/>
          <w:numId w:val="1"/>
        </w:numPr>
        <w:spacing w:after="0"/>
        <w:rPr>
          <w:rFonts w:ascii="Century Gothic" w:hAnsi="Century Gothic"/>
          <w:sz w:val="22"/>
          <w:szCs w:val="22"/>
        </w:rPr>
      </w:pPr>
      <w:r>
        <w:rPr>
          <w:rFonts w:ascii="Century Gothic" w:hAnsi="Century Gothic"/>
          <w:sz w:val="22"/>
          <w:szCs w:val="22"/>
        </w:rPr>
        <w:t xml:space="preserve">5 </w:t>
      </w:r>
      <w:proofErr w:type="gramStart"/>
      <w:r>
        <w:rPr>
          <w:rFonts w:ascii="Century Gothic" w:hAnsi="Century Gothic"/>
          <w:sz w:val="22"/>
          <w:szCs w:val="22"/>
        </w:rPr>
        <w:t>Ciclos</w:t>
      </w:r>
      <w:proofErr w:type="gramEnd"/>
      <w:r>
        <w:rPr>
          <w:rFonts w:ascii="Century Gothic" w:hAnsi="Century Gothic"/>
          <w:sz w:val="22"/>
          <w:szCs w:val="22"/>
        </w:rPr>
        <w:t xml:space="preserve"> o más límite de $25,000</w:t>
      </w:r>
    </w:p>
    <w:p w14:paraId="0F5F633A" w14:textId="77777777" w:rsidR="00C61980" w:rsidRDefault="00C61980" w:rsidP="00C61980">
      <w:pPr>
        <w:spacing w:after="0"/>
        <w:rPr>
          <w:rFonts w:ascii="Century Gothic" w:hAnsi="Century Gothic"/>
          <w:sz w:val="22"/>
          <w:szCs w:val="22"/>
        </w:rPr>
      </w:pPr>
    </w:p>
    <w:p w14:paraId="53604AFC" w14:textId="67750576" w:rsidR="00C61980" w:rsidRPr="00E262F7" w:rsidRDefault="00C61980" w:rsidP="00C61980">
      <w:pPr>
        <w:spacing w:after="0"/>
        <w:rPr>
          <w:rFonts w:ascii="Century Gothic" w:hAnsi="Century Gothic"/>
          <w:b/>
          <w:bCs/>
          <w:sz w:val="22"/>
          <w:szCs w:val="22"/>
        </w:rPr>
      </w:pPr>
      <w:r w:rsidRPr="00C61980">
        <w:rPr>
          <w:rFonts w:ascii="Century Gothic" w:hAnsi="Century Gothic"/>
          <w:b/>
          <w:bCs/>
          <w:sz w:val="22"/>
          <w:szCs w:val="22"/>
        </w:rPr>
        <w:t>d) Calcule el impacto real de diferentes acciones (</w:t>
      </w:r>
      <w:proofErr w:type="spellStart"/>
      <w:r w:rsidRPr="00C61980">
        <w:rPr>
          <w:rFonts w:ascii="Century Gothic" w:hAnsi="Century Gothic"/>
          <w:b/>
          <w:bCs/>
          <w:sz w:val="22"/>
          <w:szCs w:val="22"/>
        </w:rPr>
        <w:t>ej</w:t>
      </w:r>
      <w:proofErr w:type="spellEnd"/>
      <w:r w:rsidRPr="00C61980">
        <w:rPr>
          <w:rFonts w:ascii="Century Gothic" w:hAnsi="Century Gothic"/>
          <w:b/>
          <w:bCs/>
          <w:sz w:val="22"/>
          <w:szCs w:val="22"/>
        </w:rPr>
        <w:t>: pasar 100 grupos de $10K a $12K vs conseguir 50 grupos nuevos de $15K)</w:t>
      </w:r>
    </w:p>
    <w:p w14:paraId="2F46B809" w14:textId="6D9FC868" w:rsidR="0031327E" w:rsidRDefault="0031327E" w:rsidP="0031327E">
      <w:pPr>
        <w:pStyle w:val="Prrafodelista"/>
        <w:numPr>
          <w:ilvl w:val="0"/>
          <w:numId w:val="3"/>
        </w:numPr>
        <w:spacing w:after="0"/>
        <w:rPr>
          <w:rFonts w:ascii="Century Gothic" w:hAnsi="Century Gothic"/>
          <w:sz w:val="22"/>
          <w:szCs w:val="22"/>
        </w:rPr>
      </w:pPr>
      <w:r>
        <w:rPr>
          <w:rFonts w:ascii="Century Gothic" w:hAnsi="Century Gothic"/>
          <w:sz w:val="22"/>
          <w:szCs w:val="22"/>
        </w:rPr>
        <w:t>En el escenario donde aumentemos grupos de $10,000 a $12,000 estaríamos hablando de un incremento de cartera de $200,000, sin embargo, estamos hablando de grupos que ya han demostrado buen comportamiento de pago.</w:t>
      </w:r>
    </w:p>
    <w:p w14:paraId="02E569F0" w14:textId="1210045F" w:rsidR="0031327E" w:rsidRPr="0031327E" w:rsidRDefault="0031327E" w:rsidP="0031327E">
      <w:pPr>
        <w:pStyle w:val="Prrafodelista"/>
        <w:numPr>
          <w:ilvl w:val="0"/>
          <w:numId w:val="3"/>
        </w:numPr>
        <w:spacing w:after="0"/>
        <w:rPr>
          <w:rFonts w:ascii="Century Gothic" w:hAnsi="Century Gothic"/>
          <w:sz w:val="22"/>
          <w:szCs w:val="22"/>
        </w:rPr>
      </w:pPr>
      <w:r>
        <w:rPr>
          <w:rFonts w:ascii="Century Gothic" w:hAnsi="Century Gothic"/>
          <w:sz w:val="22"/>
          <w:szCs w:val="22"/>
        </w:rPr>
        <w:t xml:space="preserve">El siguiente caso de atraer grupos nuevos nos daría un aumento de cartera de $750,000, si bien es una medida que aumenta de mayor manera la cartera y </w:t>
      </w:r>
      <w:proofErr w:type="gramStart"/>
      <w:r>
        <w:rPr>
          <w:rFonts w:ascii="Century Gothic" w:hAnsi="Century Gothic"/>
          <w:sz w:val="22"/>
          <w:szCs w:val="22"/>
        </w:rPr>
        <w:t>ticket</w:t>
      </w:r>
      <w:proofErr w:type="gramEnd"/>
      <w:r>
        <w:rPr>
          <w:rFonts w:ascii="Century Gothic" w:hAnsi="Century Gothic"/>
          <w:sz w:val="22"/>
          <w:szCs w:val="22"/>
        </w:rPr>
        <w:t xml:space="preserve"> promedio, no se debe dejar de lado el riesgo que los grupos nuevos suponen.</w:t>
      </w:r>
    </w:p>
    <w:p w14:paraId="2469C288" w14:textId="77777777" w:rsidR="0031327E" w:rsidRPr="00C61980" w:rsidRDefault="0031327E" w:rsidP="00C61980">
      <w:pPr>
        <w:spacing w:after="0"/>
        <w:rPr>
          <w:rFonts w:ascii="Century Gothic" w:hAnsi="Century Gothic"/>
          <w:sz w:val="22"/>
          <w:szCs w:val="22"/>
        </w:rPr>
      </w:pPr>
    </w:p>
    <w:p w14:paraId="30297772" w14:textId="76E22812" w:rsidR="00C61980" w:rsidRPr="00C61980" w:rsidRDefault="00C61980" w:rsidP="00C61980">
      <w:pPr>
        <w:spacing w:after="0"/>
        <w:rPr>
          <w:rFonts w:ascii="Century Gothic" w:hAnsi="Century Gothic"/>
          <w:b/>
          <w:bCs/>
          <w:sz w:val="22"/>
          <w:szCs w:val="22"/>
        </w:rPr>
      </w:pPr>
      <w:r w:rsidRPr="00C61980">
        <w:rPr>
          <w:rFonts w:ascii="Century Gothic" w:hAnsi="Century Gothic"/>
          <w:b/>
          <w:bCs/>
          <w:sz w:val="22"/>
          <w:szCs w:val="22"/>
        </w:rPr>
        <w:t>e) Cree un diagrama que muestre el flujo de grupos y cómo impactan el promedio en el tiempo</w:t>
      </w:r>
    </w:p>
    <w:p w14:paraId="3C8F25FF" w14:textId="77777777" w:rsidR="009E76C7" w:rsidRPr="00C61980" w:rsidRDefault="009E76C7" w:rsidP="00C61980">
      <w:pPr>
        <w:spacing w:after="0"/>
        <w:rPr>
          <w:rFonts w:ascii="Century Gothic" w:hAnsi="Century Gothic"/>
          <w:sz w:val="22"/>
          <w:szCs w:val="22"/>
        </w:rPr>
      </w:pPr>
    </w:p>
    <w:sectPr w:rsidR="009E76C7" w:rsidRPr="00C61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947DC"/>
    <w:multiLevelType w:val="hybridMultilevel"/>
    <w:tmpl w:val="CA42EB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2F3C3A"/>
    <w:multiLevelType w:val="hybridMultilevel"/>
    <w:tmpl w:val="6742B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010699"/>
    <w:multiLevelType w:val="hybridMultilevel"/>
    <w:tmpl w:val="7F661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3521354">
    <w:abstractNumId w:val="0"/>
  </w:num>
  <w:num w:numId="2" w16cid:durableId="1789202843">
    <w:abstractNumId w:val="2"/>
  </w:num>
  <w:num w:numId="3" w16cid:durableId="169496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80"/>
    <w:rsid w:val="00257D79"/>
    <w:rsid w:val="0031327E"/>
    <w:rsid w:val="007673A8"/>
    <w:rsid w:val="009E76C7"/>
    <w:rsid w:val="00C61980"/>
    <w:rsid w:val="00E262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1154"/>
  <w15:chartTrackingRefBased/>
  <w15:docId w15:val="{83418B4B-AFFF-4D24-9B22-FCD37AC6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1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19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9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9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9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9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9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9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9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19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19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9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9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9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9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9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980"/>
    <w:rPr>
      <w:rFonts w:eastAsiaTheme="majorEastAsia" w:cstheme="majorBidi"/>
      <w:color w:val="272727" w:themeColor="text1" w:themeTint="D8"/>
    </w:rPr>
  </w:style>
  <w:style w:type="paragraph" w:styleId="Ttulo">
    <w:name w:val="Title"/>
    <w:basedOn w:val="Normal"/>
    <w:next w:val="Normal"/>
    <w:link w:val="TtuloCar"/>
    <w:uiPriority w:val="10"/>
    <w:qFormat/>
    <w:rsid w:val="00C61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9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9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9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980"/>
    <w:pPr>
      <w:spacing w:before="160"/>
      <w:jc w:val="center"/>
    </w:pPr>
    <w:rPr>
      <w:i/>
      <w:iCs/>
      <w:color w:val="404040" w:themeColor="text1" w:themeTint="BF"/>
    </w:rPr>
  </w:style>
  <w:style w:type="character" w:customStyle="1" w:styleId="CitaCar">
    <w:name w:val="Cita Car"/>
    <w:basedOn w:val="Fuentedeprrafopredeter"/>
    <w:link w:val="Cita"/>
    <w:uiPriority w:val="29"/>
    <w:rsid w:val="00C61980"/>
    <w:rPr>
      <w:i/>
      <w:iCs/>
      <w:color w:val="404040" w:themeColor="text1" w:themeTint="BF"/>
    </w:rPr>
  </w:style>
  <w:style w:type="paragraph" w:styleId="Prrafodelista">
    <w:name w:val="List Paragraph"/>
    <w:basedOn w:val="Normal"/>
    <w:uiPriority w:val="34"/>
    <w:qFormat/>
    <w:rsid w:val="00C61980"/>
    <w:pPr>
      <w:ind w:left="720"/>
      <w:contextualSpacing/>
    </w:pPr>
  </w:style>
  <w:style w:type="character" w:styleId="nfasisintenso">
    <w:name w:val="Intense Emphasis"/>
    <w:basedOn w:val="Fuentedeprrafopredeter"/>
    <w:uiPriority w:val="21"/>
    <w:qFormat/>
    <w:rsid w:val="00C61980"/>
    <w:rPr>
      <w:i/>
      <w:iCs/>
      <w:color w:val="0F4761" w:themeColor="accent1" w:themeShade="BF"/>
    </w:rPr>
  </w:style>
  <w:style w:type="paragraph" w:styleId="Citadestacada">
    <w:name w:val="Intense Quote"/>
    <w:basedOn w:val="Normal"/>
    <w:next w:val="Normal"/>
    <w:link w:val="CitadestacadaCar"/>
    <w:uiPriority w:val="30"/>
    <w:qFormat/>
    <w:rsid w:val="00C61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980"/>
    <w:rPr>
      <w:i/>
      <w:iCs/>
      <w:color w:val="0F4761" w:themeColor="accent1" w:themeShade="BF"/>
    </w:rPr>
  </w:style>
  <w:style w:type="character" w:styleId="Referenciaintensa">
    <w:name w:val="Intense Reference"/>
    <w:basedOn w:val="Fuentedeprrafopredeter"/>
    <w:uiPriority w:val="32"/>
    <w:qFormat/>
    <w:rsid w:val="00C61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1</cp:revision>
  <dcterms:created xsi:type="dcterms:W3CDTF">2025-08-06T16:32:00Z</dcterms:created>
  <dcterms:modified xsi:type="dcterms:W3CDTF">2025-08-06T17:02:00Z</dcterms:modified>
</cp:coreProperties>
</file>