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60"/>
      </w:pPr>
      <w:r>
        <w:rPr>
          <w:rFonts w:ascii="Arial" w:cs="Arial" w:eastAsia="Arial" w:hAnsi="Arial"/>
          <w:b/>
          <w:bCs/>
          <w:color w:val="1E40AF"/>
          <w:sz w:val="52"/>
          <w:szCs w:val="52"/>
        </w:rPr>
        <w:t xml:space="preserve">MODEL RISK IN VALUATION ENGINE</w:t>
      </w:r>
    </w:p>
    <w:p>
      <w:pPr>
        <w:spacing w:after="60" w:before="0"/>
      </w:pPr>
      <w:r>
        <w:rPr>
          <w:rFonts w:ascii="Arial" w:cs="Arial" w:eastAsia="Arial" w:hAnsi="Arial"/>
          <w:color w:val="374151"/>
          <w:sz w:val="30"/>
          <w:szCs w:val="30"/>
        </w:rPr>
        <w:t xml:space="preserve">Design &amp; Architecture Document</w:t>
      </w:r>
    </w:p>
    <w:p>
      <w:pPr>
        <w:spacing w:after="480" w:before="120"/>
      </w:pPr>
      <w:r>
        <w:rPr>
          <w:rFonts w:ascii="Arial" w:cs="Arial" w:eastAsia="Arial" w:hAnsi="Arial"/>
          <w:i/>
          <w:iCs/>
          <w:color w:val="9CA3AF"/>
          <w:sz w:val="22"/>
          <w:szCs w:val="22"/>
        </w:rPr>
        <w:t xml:space="preserve">Hetal Shah  ·  v1.0  ·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none" w:color="FFFFFF" w:sz="0"/>
            </w:tcBorders>
            <w:shd w:fill="DBEAFE" w:val="clear"/>
            <w:tcMar>
              <w:top w:type="dxa" w:w="120"/>
              <w:left w:type="dxa" w:w="200"/>
              <w:bottom w:type="dxa" w:w="120"/>
              <w:right w:type="dxa" w:w="120"/>
            </w:tcMar>
          </w:tcPr>
          <w:p>
            <w:pPr>
              <w:spacing w:after="60" w:before="0"/>
            </w:pPr>
            <w:r>
              <w:rPr>
                <w:rFonts w:ascii="Arial" w:cs="Arial" w:eastAsia="Arial" w:hAnsi="Arial"/>
                <w:b/>
                <w:bCs/>
                <w:color w:val="1E40AF"/>
                <w:sz w:val="20"/>
                <w:szCs w:val="20"/>
              </w:rPr>
              <w:t xml:space="preserve">Project Thesis</w:t>
            </w:r>
          </w:p>
          <w:p>
            <w:pPr>
              <w:spacing w:after="0" w:before="0"/>
            </w:pPr>
            <w:r>
              <w:rPr>
                <w:rFonts w:ascii="Arial" w:cs="Arial" w:eastAsia="Arial" w:hAnsi="Arial"/>
                <w:color w:val="1E3A5F"/>
                <w:sz w:val="20"/>
                <w:szCs w:val="20"/>
              </w:rPr>
              <w:t xml:space="preserve">Most analysts use DCF and CCA as tools. This project audits them as systems — quantifying how wrong they are, why they diverge, and what that divergence signals about valuation uncertainty.</w:t>
            </w:r>
          </w:p>
        </w:tc>
      </w:tr>
    </w:tbl>
    <w:p>
      <w:pPr>
        <w:spacing w:after="40" w:before="40"/>
      </w:pPr>
      <w:r>
        <w:t xml:space="preserve"/>
      </w:r>
    </w:p>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1. Project Overview</w:t>
      </w:r>
    </w:p>
    <w:p>
      <w:pPr>
        <w:pStyle w:val="Heading2"/>
        <w:spacing w:after="100" w:before="240"/>
      </w:pPr>
      <w:r>
        <w:rPr>
          <w:rFonts w:ascii="Arial" w:cs="Arial" w:eastAsia="Arial" w:hAnsi="Arial"/>
          <w:b/>
          <w:bCs/>
          <w:color w:val="111827"/>
          <w:sz w:val="26"/>
          <w:szCs w:val="26"/>
        </w:rPr>
        <w:t xml:space="preserve">1.1 Motivation</w:t>
      </w:r>
    </w:p>
    <w:p>
      <w:pPr>
        <w:spacing w:after="60" w:before="60"/>
      </w:pPr>
      <w:r>
        <w:rPr>
          <w:rFonts w:ascii="Arial" w:cs="Arial" w:eastAsia="Arial" w:hAnsi="Arial"/>
          <w:b w:val="false"/>
          <w:bCs w:val="false"/>
          <w:i w:val="false"/>
          <w:iCs w:val="false"/>
          <w:color w:val="1F2937"/>
          <w:sz w:val="22"/>
          <w:szCs w:val="22"/>
        </w:rPr>
        <w:t xml:space="preserve">Model risk in valuation is a well-documented phenomenon in academic finance but almost never addressed in practitioner-level projects. Analysts routinely produce DCF and CCA outputs without quantifying the error distribution of those models, the sensitivity of outputs to terminal assumptions, or the information content of inter-model divergence.</w:t>
      </w:r>
    </w:p>
    <w:p>
      <w:pPr>
        <w:spacing w:after="40" w:before="40"/>
      </w:pPr>
      <w:r>
        <w:t xml:space="preserve"/>
      </w:r>
    </w:p>
    <w:p>
      <w:pPr>
        <w:spacing w:after="60" w:before="60"/>
      </w:pPr>
      <w:r>
        <w:rPr>
          <w:rFonts w:ascii="Arial" w:cs="Arial" w:eastAsia="Arial" w:hAnsi="Arial"/>
          <w:b w:val="false"/>
          <w:bCs w:val="false"/>
          <w:i w:val="false"/>
          <w:iCs w:val="false"/>
          <w:color w:val="1F2937"/>
          <w:sz w:val="22"/>
          <w:szCs w:val="22"/>
        </w:rPr>
        <w:t xml:space="preserve">This project fills that gap. It treats valuation models as objects of study rather than tools — auditing their behavior across 50 public companies in 5 sectors and surfacing four core findings:</w:t>
      </w:r>
    </w:p>
    <w:p>
      <w:pPr>
        <w:spacing w:after="40" w:before="40"/>
      </w:pPr>
      <w:r>
        <w:t xml:space="preserve"/>
      </w:r>
    </w:p>
    <w:p>
      <w:pPr>
        <w:pStyle w:val="ListParagraph"/>
        <w:numPr>
          <w:ilvl w:val="0"/>
          <w:numId w:val="2"/>
        </w:numPr>
        <w:spacing w:after="40" w:before="40"/>
      </w:pPr>
      <w:r>
        <w:rPr>
          <w:rFonts w:ascii="Arial" w:cs="Arial" w:eastAsia="Arial" w:hAnsi="Arial"/>
          <w:b/>
          <w:bCs/>
          <w:color w:val="1E40AF"/>
          <w:sz w:val="22"/>
          <w:szCs w:val="22"/>
        </w:rPr>
        <w:t xml:space="preserve">Finding 1: </w:t>
      </w:r>
      <w:r>
        <w:rPr>
          <w:rFonts w:ascii="Arial" w:cs="Arial" w:eastAsia="Arial" w:hAnsi="Arial"/>
          <w:color w:val="1F2937"/>
          <w:sz w:val="22"/>
          <w:szCs w:val="22"/>
        </w:rPr>
        <w:t xml:space="preserve">DCF mean absolute error vs market price</w:t>
      </w:r>
    </w:p>
    <w:p>
      <w:pPr>
        <w:pStyle w:val="ListParagraph"/>
        <w:numPr>
          <w:ilvl w:val="0"/>
          <w:numId w:val="2"/>
        </w:numPr>
        <w:spacing w:after="40" w:before="40"/>
      </w:pPr>
      <w:r>
        <w:rPr>
          <w:rFonts w:ascii="Arial" w:cs="Arial" w:eastAsia="Arial" w:hAnsi="Arial"/>
          <w:b/>
          <w:bCs/>
          <w:color w:val="1E40AF"/>
          <w:sz w:val="22"/>
          <w:szCs w:val="22"/>
        </w:rPr>
        <w:t xml:space="preserve">Finding 2: </w:t>
      </w:r>
      <w:r>
        <w:rPr>
          <w:rFonts w:ascii="Arial" w:cs="Arial" w:eastAsia="Arial" w:hAnsi="Arial"/>
          <w:color w:val="1F2937"/>
          <w:sz w:val="22"/>
          <w:szCs w:val="22"/>
        </w:rPr>
        <w:t xml:space="preserve">CCA mean absolute error vs market price</w:t>
      </w:r>
    </w:p>
    <w:p>
      <w:pPr>
        <w:pStyle w:val="ListParagraph"/>
        <w:numPr>
          <w:ilvl w:val="0"/>
          <w:numId w:val="2"/>
        </w:numPr>
        <w:spacing w:after="40" w:before="40"/>
      </w:pPr>
      <w:r>
        <w:rPr>
          <w:rFonts w:ascii="Arial" w:cs="Arial" w:eastAsia="Arial" w:hAnsi="Arial"/>
          <w:b/>
          <w:bCs/>
          <w:color w:val="1E40AF"/>
          <w:sz w:val="22"/>
          <w:szCs w:val="22"/>
        </w:rPr>
        <w:t xml:space="preserve">Finding 3: </w:t>
      </w:r>
      <w:r>
        <w:rPr>
          <w:rFonts w:ascii="Arial" w:cs="Arial" w:eastAsia="Arial" w:hAnsi="Arial"/>
          <w:color w:val="1F2937"/>
          <w:sz w:val="22"/>
          <w:szCs w:val="22"/>
        </w:rPr>
        <w:t xml:space="preserve">Terminal value accounts for the majority of DCF variance</w:t>
      </w:r>
    </w:p>
    <w:p>
      <w:pPr>
        <w:pStyle w:val="ListParagraph"/>
        <w:numPr>
          <w:ilvl w:val="0"/>
          <w:numId w:val="2"/>
        </w:numPr>
        <w:spacing w:after="40" w:before="40"/>
      </w:pPr>
      <w:r>
        <w:rPr>
          <w:rFonts w:ascii="Arial" w:cs="Arial" w:eastAsia="Arial" w:hAnsi="Arial"/>
          <w:b/>
          <w:bCs/>
          <w:color w:val="1E40AF"/>
          <w:sz w:val="22"/>
          <w:szCs w:val="22"/>
        </w:rPr>
        <w:t xml:space="preserve">Finding 4: </w:t>
      </w:r>
      <w:r>
        <w:rPr>
          <w:rFonts w:ascii="Arial" w:cs="Arial" w:eastAsia="Arial" w:hAnsi="Arial"/>
          <w:color w:val="1F2937"/>
          <w:sz w:val="22"/>
          <w:szCs w:val="22"/>
        </w:rPr>
        <w:t xml:space="preserve">DCF–CCA divergence is correlated with model uncertainty</w:t>
      </w:r>
    </w:p>
    <w:p>
      <w:pPr>
        <w:spacing w:after="40" w:before="40"/>
      </w:pPr>
      <w:r>
        <w:t xml:space="preserve"/>
      </w:r>
    </w:p>
    <w:p>
      <w:pPr>
        <w:pStyle w:val="Heading2"/>
        <w:spacing w:after="100" w:before="240"/>
      </w:pPr>
      <w:r>
        <w:rPr>
          <w:rFonts w:ascii="Arial" w:cs="Arial" w:eastAsia="Arial" w:hAnsi="Arial"/>
          <w:b/>
          <w:bCs/>
          <w:color w:val="111827"/>
          <w:sz w:val="26"/>
          <w:szCs w:val="26"/>
        </w:rPr>
        <w:t xml:space="preserve">1.2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Valuation Project</w:t>
            </w:r>
          </w:p>
        </w:tc>
        <w:tc>
          <w:tcPr>
            <w:tcW w:type="dxa" w:w="468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Project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Builds a DCF model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Audits DCF model accuracy across 50 companies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Uses analyst estimates as inputs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Measures analyst error as a benchmark</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Presents a single price target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Presents an error distribution and confidence interval</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Static sensitivity table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Dynamic sensitivity surface (WACC × growth)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 method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Two methods, plus inter-method divergence analysis</w:t>
            </w:r>
          </w:p>
        </w:tc>
      </w:tr>
    </w:tbl>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2. Data Architecture</w:t>
      </w:r>
    </w:p>
    <w:p>
      <w:pPr>
        <w:pStyle w:val="Heading2"/>
        <w:spacing w:after="100" w:before="240"/>
      </w:pPr>
      <w:r>
        <w:rPr>
          <w:rFonts w:ascii="Arial" w:cs="Arial" w:eastAsia="Arial" w:hAnsi="Arial"/>
          <w:b/>
          <w:bCs/>
          <w:color w:val="111827"/>
          <w:sz w:val="26"/>
          <w:szCs w:val="26"/>
        </w:rPr>
        <w:t xml:space="preserve">2.1 Universe</w:t>
      </w:r>
    </w:p>
    <w:p>
      <w:pPr>
        <w:spacing w:after="60" w:before="60"/>
      </w:pPr>
      <w:r>
        <w:rPr>
          <w:rFonts w:ascii="Arial" w:cs="Arial" w:eastAsia="Arial" w:hAnsi="Arial"/>
          <w:b w:val="false"/>
          <w:bCs w:val="false"/>
          <w:i w:val="false"/>
          <w:iCs w:val="false"/>
          <w:color w:val="1F2937"/>
          <w:sz w:val="22"/>
          <w:szCs w:val="22"/>
        </w:rPr>
        <w:t xml:space="preserve">50 companies across 5 sectors (10 per sector), selected to provide variation in capital structure, growth profile, and valuation multiple regimes: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3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Companies</w:t>
            </w:r>
          </w:p>
        </w:tc>
        <w:tc>
          <w:tcPr>
            <w:tcW w:type="dxa" w:w="4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Technology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AAPL, MSFT, GOOGL, META, NVDA + 5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High-growth, intangible-heavy; DCF most sensitive to assumptions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Healthcare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JNJ, UNH, PFE, ABBV, MRK + 5</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Stable FCF; R&amp;D optionality not captured by models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Financials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JPM, BAC, WFC, GS, MS + 5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less applicable; CCA (P/E, P/B) more standard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Industrials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CAT, HON, UPS, RTX, LMT + 5</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Cyclical FCF; tests model robustness to earnings volatility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Consumer Staples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PG, KO, PEP, WMT, COST + 5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 beta, stable; baseline for model accuracy</w:t>
            </w:r>
          </w:p>
        </w:tc>
      </w:tr>
    </w:tbl>
    <w:p>
      <w:pPr>
        <w:spacing w:after="40" w:before="40"/>
      </w:pPr>
      <w:r>
        <w:t xml:space="preserve"/>
      </w:r>
    </w:p>
    <w:p>
      <w:pPr>
        <w:pStyle w:val="Heading2"/>
        <w:spacing w:after="100" w:before="240"/>
      </w:pPr>
      <w:r>
        <w:rPr>
          <w:rFonts w:ascii="Arial" w:cs="Arial" w:eastAsia="Arial" w:hAnsi="Arial"/>
          <w:b/>
          <w:bCs/>
          <w:color w:val="111827"/>
          <w:sz w:val="26"/>
          <w:szCs w:val="26"/>
        </w:rPr>
        <w:t xml:space="preserve">2.2 Data Sources</w:t>
      </w:r>
    </w:p>
    <w:p>
      <w:pPr>
        <w:spacing w:after="60" w:before="60"/>
      </w:pPr>
      <w:r>
        <w:rPr>
          <w:rFonts w:ascii="Arial" w:cs="Arial" w:eastAsia="Arial" w:hAnsi="Arial"/>
          <w:b w:val="false"/>
          <w:bCs w:val="false"/>
          <w:i w:val="false"/>
          <w:iCs w:val="false"/>
          <w:color w:val="1F2937"/>
          <w:sz w:val="22"/>
          <w:szCs w:val="22"/>
        </w:rPr>
        <w:t xml:space="preserve">The pipeline is designed to run against real data via yfinance (free) or Financial Modeling Prep (FMP, $15/mo):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Point</w:t>
            </w:r>
          </w:p>
        </w:tc>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Cash Flow (4yr series)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Operating CF − CapEx</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Revenue, EBIT, EBITDA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Income statement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Debt, Cash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Balance sheet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Shares Outstanding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info.sharesOutstanding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Beta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info.beta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Current Price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yfinance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info.currentPrice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Analyst Target Price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yfinance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info.targetMeanPrice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EV/EBITDA, P/E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yfinance / FMP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info.enterpriseToEbitda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Risk-Free Rate (WACC)</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FRED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10-yr Treasury yield</w:t>
            </w:r>
          </w:p>
        </w:tc>
      </w:tr>
    </w:tbl>
    <w:p>
      <w:pPr>
        <w:spacing w:after="40" w:before="40"/>
      </w:pPr>
      <w:r>
        <w:t xml:space="preserve"/>
      </w:r>
    </w:p>
    <w:p>
      <w:pPr>
        <w:pStyle w:val="Heading2"/>
        <w:spacing w:after="100" w:before="240"/>
      </w:pPr>
      <w:r>
        <w:rPr>
          <w:rFonts w:ascii="Arial" w:cs="Arial" w:eastAsia="Arial" w:hAnsi="Arial"/>
          <w:b/>
          <w:bCs/>
          <w:color w:val="111827"/>
          <w:sz w:val="26"/>
          <w:szCs w:val="26"/>
        </w:rPr>
        <w:t xml:space="preserve">2.3 WACC Construction</w:t>
      </w:r>
    </w:p>
    <w:p>
      <w:pPr>
        <w:spacing w:after="60" w:before="60"/>
      </w:pPr>
      <w:r>
        <w:rPr>
          <w:rFonts w:ascii="Arial" w:cs="Arial" w:eastAsia="Arial" w:hAnsi="Arial"/>
          <w:b w:val="false"/>
          <w:bCs w:val="false"/>
          <w:i w:val="false"/>
          <w:iCs w:val="false"/>
          <w:color w:val="1F2937"/>
          <w:sz w:val="22"/>
          <w:szCs w:val="22"/>
        </w:rPr>
        <w:t xml:space="preserve">WACC is computed bottom-up per company using CAPM for cost of equity: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none" w:color="FFFFFF" w:sz="0"/>
            </w:tcBorders>
            <w:shd w:fill="DBEAFE" w:val="clear"/>
            <w:tcMar>
              <w:top w:type="dxa" w:w="120"/>
              <w:left w:type="dxa" w:w="200"/>
              <w:bottom w:type="dxa" w:w="120"/>
              <w:right w:type="dxa" w:w="120"/>
            </w:tcMar>
          </w:tcPr>
          <w:p>
            <w:pPr>
              <w:spacing w:after="60" w:before="0"/>
            </w:pPr>
            <w:r>
              <w:rPr>
                <w:rFonts w:ascii="Arial" w:cs="Arial" w:eastAsia="Arial" w:hAnsi="Arial"/>
                <w:b/>
                <w:bCs/>
                <w:color w:val="1E40AF"/>
                <w:sz w:val="20"/>
                <w:szCs w:val="20"/>
              </w:rPr>
              <w:t xml:space="preserve">WACC Formula</w:t>
            </w:r>
          </w:p>
          <w:p>
            <w:pPr>
              <w:spacing w:after="0" w:before="0"/>
            </w:pPr>
            <w:r>
              <w:rPr>
                <w:rFonts w:ascii="Arial" w:cs="Arial" w:eastAsia="Arial" w:hAnsi="Arial"/>
                <w:color w:val="1E3A5F"/>
                <w:sz w:val="20"/>
                <w:szCs w:val="20"/>
              </w:rPr>
              <w:t xml:space="preserve">WACC = (E/V) × Ke + (D/V) × Kd × (1 − t)
Ke = Rf + β × ERP   |   Rf = 3.15% (10yr Treasury)   |   ERP = 5.5%   |   Kd = 5.0% pre-tax</w:t>
            </w:r>
          </w:p>
        </w:tc>
      </w:tr>
    </w:tbl>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3. Valuation Models</w:t>
      </w:r>
    </w:p>
    <w:p>
      <w:pPr>
        <w:pStyle w:val="Heading2"/>
        <w:spacing w:after="100" w:before="240"/>
      </w:pPr>
      <w:r>
        <w:rPr>
          <w:rFonts w:ascii="Arial" w:cs="Arial" w:eastAsia="Arial" w:hAnsi="Arial"/>
          <w:b/>
          <w:bCs/>
          <w:color w:val="111827"/>
          <w:sz w:val="26"/>
          <w:szCs w:val="26"/>
        </w:rPr>
        <w:t xml:space="preserve">3.1 DCF Model</w:t>
      </w:r>
    </w:p>
    <w:p>
      <w:pPr>
        <w:spacing w:after="60" w:before="60"/>
      </w:pPr>
      <w:r>
        <w:rPr>
          <w:rFonts w:ascii="Arial" w:cs="Arial" w:eastAsia="Arial" w:hAnsi="Arial"/>
          <w:b w:val="false"/>
          <w:bCs w:val="false"/>
          <w:i w:val="false"/>
          <w:iCs w:val="false"/>
          <w:color w:val="1F2937"/>
          <w:sz w:val="22"/>
          <w:szCs w:val="22"/>
        </w:rPr>
        <w:t xml:space="preserve">Two-stage discounted cash flow model:</w:t>
      </w:r>
    </w:p>
    <w:p>
      <w:pPr>
        <w:spacing w:after="40" w:before="40"/>
      </w:pPr>
      <w:r>
        <w:t xml:space="preserve"/>
      </w:r>
    </w:p>
    <w:p>
      <w:pPr>
        <w:pStyle w:val="ListParagraph"/>
        <w:numPr>
          <w:ilvl w:val="0"/>
          <w:numId w:val="2"/>
        </w:numPr>
        <w:spacing w:after="40" w:before="40"/>
      </w:pPr>
      <w:r>
        <w:rPr>
          <w:rFonts w:ascii="Arial" w:cs="Arial" w:eastAsia="Arial" w:hAnsi="Arial"/>
          <w:color w:val="1F2937"/>
          <w:sz w:val="22"/>
          <w:szCs w:val="22"/>
        </w:rPr>
        <w:t xml:space="preserve">Stage 1 (Years 1–5): FCF grown at historically calibrated rate, capped at 20%</w:t>
      </w:r>
    </w:p>
    <w:p>
      <w:pPr>
        <w:pStyle w:val="ListParagraph"/>
        <w:numPr>
          <w:ilvl w:val="0"/>
          <w:numId w:val="2"/>
        </w:numPr>
        <w:spacing w:after="40" w:before="40"/>
      </w:pPr>
      <w:r>
        <w:rPr>
          <w:rFonts w:ascii="Arial" w:cs="Arial" w:eastAsia="Arial" w:hAnsi="Arial"/>
          <w:color w:val="1F2937"/>
          <w:sz w:val="22"/>
          <w:szCs w:val="22"/>
        </w:rPr>
        <w:t xml:space="preserve">Stage 2 (Terminal): Gordon Growth Model with perpetuity growth rate (1–5% tested)</w:t>
      </w:r>
    </w:p>
    <w:p>
      <w:pPr>
        <w:pStyle w:val="ListParagraph"/>
        <w:numPr>
          <w:ilvl w:val="0"/>
          <w:numId w:val="2"/>
        </w:numPr>
        <w:spacing w:after="40" w:before="40"/>
      </w:pPr>
      <w:r>
        <w:rPr>
          <w:rFonts w:ascii="Arial" w:cs="Arial" w:eastAsia="Arial" w:hAnsi="Arial"/>
          <w:color w:val="1F2937"/>
          <w:sz w:val="22"/>
          <w:szCs w:val="22"/>
        </w:rPr>
        <w:t xml:space="preserve">Terminal Value = FCF₅ × (1 + g) / (WACC − g)</w:t>
      </w:r>
    </w:p>
    <w:p>
      <w:pPr>
        <w:pStyle w:val="ListParagraph"/>
        <w:numPr>
          <w:ilvl w:val="0"/>
          <w:numId w:val="2"/>
        </w:numPr>
        <w:spacing w:after="40" w:before="40"/>
      </w:pPr>
      <w:r>
        <w:rPr>
          <w:rFonts w:ascii="Arial" w:cs="Arial" w:eastAsia="Arial" w:hAnsi="Arial"/>
          <w:color w:val="1F2937"/>
          <w:sz w:val="22"/>
          <w:szCs w:val="22"/>
        </w:rPr>
        <w:t xml:space="preserve">Equity Value = Enterprise Value − Net Debt; Price = Equity Value / Shares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none" w:color="FFFFFF" w:sz="0"/>
            </w:tcBorders>
            <w:shd w:fill="DBEAFE" w:val="clear"/>
            <w:tcMar>
              <w:top w:type="dxa" w:w="120"/>
              <w:left w:type="dxa" w:w="200"/>
              <w:bottom w:type="dxa" w:w="120"/>
              <w:right w:type="dxa" w:w="120"/>
            </w:tcMar>
          </w:tcPr>
          <w:p>
            <w:pPr>
              <w:spacing w:after="60" w:before="0"/>
            </w:pPr>
            <w:r>
              <w:rPr>
                <w:rFonts w:ascii="Arial" w:cs="Arial" w:eastAsia="Arial" w:hAnsi="Arial"/>
                <w:b/>
                <w:bCs/>
                <w:color w:val="1E40AF"/>
                <w:sz w:val="20"/>
                <w:szCs w:val="20"/>
              </w:rPr>
              <w:t xml:space="preserve">Key Design Decision</w:t>
            </w:r>
          </w:p>
          <w:p>
            <w:pPr>
              <w:spacing w:after="0" w:before="0"/>
            </w:pPr>
            <w:r>
              <w:rPr>
                <w:rFonts w:ascii="Arial" w:cs="Arial" w:eastAsia="Arial" w:hAnsi="Arial"/>
                <w:color w:val="1E3A5F"/>
                <w:sz w:val="20"/>
                <w:szCs w:val="20"/>
              </w:rPr>
              <w:t xml:space="preserve">Historical FCF growth (from 4-year series) is used to calibrate Stage 1 growth rather than using a fixed assumption. This prevents the model from being trivially wrong due to stale growth inputs and isolates terminal value and WACC as the true sources of model risk.</w:t>
            </w:r>
          </w:p>
        </w:tc>
      </w:tr>
    </w:tbl>
    <w:p>
      <w:pPr>
        <w:spacing w:after="40" w:before="40"/>
      </w:pPr>
      <w:r>
        <w:t xml:space="preserve"/>
      </w:r>
    </w:p>
    <w:p>
      <w:pPr>
        <w:pStyle w:val="Heading2"/>
        <w:spacing w:after="100" w:before="240"/>
      </w:pPr>
      <w:r>
        <w:rPr>
          <w:rFonts w:ascii="Arial" w:cs="Arial" w:eastAsia="Arial" w:hAnsi="Arial"/>
          <w:b/>
          <w:bCs/>
          <w:color w:val="111827"/>
          <w:sz w:val="26"/>
          <w:szCs w:val="26"/>
        </w:rPr>
        <w:t xml:space="preserve">3.2 CCA Model</w:t>
      </w:r>
    </w:p>
    <w:p>
      <w:pPr>
        <w:spacing w:after="60" w:before="60"/>
      </w:pPr>
      <w:r>
        <w:rPr>
          <w:rFonts w:ascii="Arial" w:cs="Arial" w:eastAsia="Arial" w:hAnsi="Arial"/>
          <w:b w:val="false"/>
          <w:bCs w:val="false"/>
          <w:i w:val="false"/>
          <w:iCs w:val="false"/>
          <w:color w:val="1F2937"/>
          <w:sz w:val="22"/>
          <w:szCs w:val="22"/>
        </w:rPr>
        <w:t xml:space="preserve">Comparable company analysis using sector-median multiples:</w:t>
      </w:r>
    </w:p>
    <w:p>
      <w:pPr>
        <w:spacing w:after="40" w:before="40"/>
      </w:pPr>
      <w:r>
        <w:t xml:space="preserve"/>
      </w:r>
    </w:p>
    <w:p>
      <w:pPr>
        <w:pStyle w:val="ListParagraph"/>
        <w:numPr>
          <w:ilvl w:val="0"/>
          <w:numId w:val="2"/>
        </w:numPr>
        <w:spacing w:after="40" w:before="40"/>
      </w:pPr>
      <w:r>
        <w:rPr>
          <w:rFonts w:ascii="Arial" w:cs="Arial" w:eastAsia="Arial" w:hAnsi="Arial"/>
          <w:color w:val="1F2937"/>
          <w:sz w:val="22"/>
          <w:szCs w:val="22"/>
        </w:rPr>
        <w:t xml:space="preserve">Method A: EV/EBITDA implied price using sector median multiple</w:t>
      </w:r>
    </w:p>
    <w:p>
      <w:pPr>
        <w:pStyle w:val="ListParagraph"/>
        <w:numPr>
          <w:ilvl w:val="0"/>
          <w:numId w:val="2"/>
        </w:numPr>
        <w:spacing w:after="40" w:before="40"/>
      </w:pPr>
      <w:r>
        <w:rPr>
          <w:rFonts w:ascii="Arial" w:cs="Arial" w:eastAsia="Arial" w:hAnsi="Arial"/>
          <w:color w:val="1F2937"/>
          <w:sz w:val="22"/>
          <w:szCs w:val="22"/>
        </w:rPr>
        <w:t xml:space="preserve">Method B: EV/Revenue implied price using sector median multiple</w:t>
      </w:r>
    </w:p>
    <w:p>
      <w:pPr>
        <w:pStyle w:val="ListParagraph"/>
        <w:numPr>
          <w:ilvl w:val="0"/>
          <w:numId w:val="2"/>
        </w:numPr>
        <w:spacing w:after="40" w:before="40"/>
      </w:pPr>
      <w:r>
        <w:rPr>
          <w:rFonts w:ascii="Arial" w:cs="Arial" w:eastAsia="Arial" w:hAnsi="Arial"/>
          <w:color w:val="1F2937"/>
          <w:sz w:val="22"/>
          <w:szCs w:val="22"/>
        </w:rPr>
        <w:t xml:space="preserve">Blended CCA price: average of Methods A and B where both are available</w:t>
      </w:r>
    </w:p>
    <w:p>
      <w:pPr>
        <w:pStyle w:val="ListParagraph"/>
        <w:numPr>
          <w:ilvl w:val="0"/>
          <w:numId w:val="2"/>
        </w:numPr>
        <w:spacing w:after="40" w:before="40"/>
      </w:pPr>
      <w:r>
        <w:rPr>
          <w:rFonts w:ascii="Arial" w:cs="Arial" w:eastAsia="Arial" w:hAnsi="Arial"/>
          <w:color w:val="1F2937"/>
          <w:sz w:val="22"/>
          <w:szCs w:val="22"/>
        </w:rPr>
        <w:t xml:space="preserve">Sector medians computed dynamically from the 50-company universe</w:t>
      </w:r>
    </w:p>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4. Analytical Framework</w:t>
      </w:r>
    </w:p>
    <w:p>
      <w:pPr>
        <w:pStyle w:val="Heading2"/>
        <w:spacing w:after="100" w:before="240"/>
      </w:pPr>
      <w:r>
        <w:rPr>
          <w:rFonts w:ascii="Arial" w:cs="Arial" w:eastAsia="Arial" w:hAnsi="Arial"/>
          <w:b/>
          <w:bCs/>
          <w:color w:val="111827"/>
          <w:sz w:val="26"/>
          <w:szCs w:val="26"/>
        </w:rPr>
        <w:t xml:space="preserve">4.1 Error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MAE (Mean Absolute Error)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Price − Market Price| / Market Price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Average magnitude of model error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Bias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(Model Price − Market Price) / Market Price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Directional skew (positive = overestimates)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DCF–CCA Divergence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Price − CCA Price) / CCA Price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Disagreement between methods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Terminal Value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PV(Terminal) / Total Enterprise Value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Sensitivity concentration in terminal assumptions</w:t>
            </w:r>
          </w:p>
        </w:tc>
      </w:tr>
    </w:tbl>
    <w:p>
      <w:pPr>
        <w:spacing w:after="40" w:before="40"/>
      </w:pPr>
      <w:r>
        <w:t xml:space="preserve"/>
      </w:r>
    </w:p>
    <w:p>
      <w:pPr>
        <w:pStyle w:val="Heading2"/>
        <w:spacing w:after="100" w:before="240"/>
      </w:pPr>
      <w:r>
        <w:rPr>
          <w:rFonts w:ascii="Arial" w:cs="Arial" w:eastAsia="Arial" w:hAnsi="Arial"/>
          <w:b/>
          <w:bCs/>
          <w:color w:val="111827"/>
          <w:sz w:val="26"/>
          <w:szCs w:val="26"/>
        </w:rPr>
        <w:t xml:space="preserve">4.2 Analytical Outputs</w:t>
      </w:r>
    </w:p>
    <w:p>
      <w:pPr>
        <w:spacing w:after="60" w:before="60"/>
      </w:pPr>
      <w:r>
        <w:rPr>
          <w:rFonts w:ascii="Arial" w:cs="Arial" w:eastAsia="Arial" w:hAnsi="Arial"/>
          <w:b w:val="false"/>
          <w:bCs w:val="false"/>
          <w:i w:val="false"/>
          <w:iCs w:val="false"/>
          <w:color w:val="1F2937"/>
          <w:sz w:val="22"/>
          <w:szCs w:val="22"/>
        </w:rPr>
        <w:t xml:space="preserve">Five analytical modules, each addressing a distinct dimension of model risk:</w:t>
      </w:r>
    </w:p>
    <w:p>
      <w:pPr>
        <w:spacing w:after="40" w:before="40"/>
      </w:pPr>
      <w:r>
        <w:t xml:space="preserve"/>
      </w:r>
    </w:p>
    <w:p>
      <w:pPr>
        <w:pStyle w:val="ListParagraph"/>
        <w:numPr>
          <w:ilvl w:val="0"/>
          <w:numId w:val="2"/>
        </w:numPr>
        <w:spacing w:after="40" w:before="40"/>
      </w:pPr>
      <w:r>
        <w:rPr>
          <w:rFonts w:ascii="Arial" w:cs="Arial" w:eastAsia="Arial" w:hAnsi="Arial"/>
          <w:b/>
          <w:bCs/>
          <w:color w:val="1E40AF"/>
          <w:sz w:val="22"/>
          <w:szCs w:val="22"/>
        </w:rPr>
        <w:t xml:space="preserve">Module 1: </w:t>
      </w:r>
      <w:r>
        <w:rPr>
          <w:rFonts w:ascii="Arial" w:cs="Arial" w:eastAsia="Arial" w:hAnsi="Arial"/>
          <w:color w:val="1F2937"/>
          <w:sz w:val="22"/>
          <w:szCs w:val="22"/>
        </w:rPr>
        <w:t xml:space="preserve">Error distribution histograms and boxplots — DCF vs CCA across all 50 companies</w:t>
      </w:r>
    </w:p>
    <w:p>
      <w:pPr>
        <w:pStyle w:val="ListParagraph"/>
        <w:numPr>
          <w:ilvl w:val="0"/>
          <w:numId w:val="2"/>
        </w:numPr>
        <w:spacing w:after="40" w:before="40"/>
      </w:pPr>
      <w:r>
        <w:rPr>
          <w:rFonts w:ascii="Arial" w:cs="Arial" w:eastAsia="Arial" w:hAnsi="Arial"/>
          <w:b/>
          <w:bCs/>
          <w:color w:val="1E40AF"/>
          <w:sz w:val="22"/>
          <w:szCs w:val="22"/>
        </w:rPr>
        <w:t xml:space="preserve">Module 2: </w:t>
      </w:r>
      <w:r>
        <w:rPr>
          <w:rFonts w:ascii="Arial" w:cs="Arial" w:eastAsia="Arial" w:hAnsi="Arial"/>
          <w:color w:val="1F2937"/>
          <w:sz w:val="22"/>
          <w:szCs w:val="22"/>
        </w:rPr>
        <w:t xml:space="preserve">Terminal value dominance scatter — TV% vs WACC, colored by sector</w:t>
      </w:r>
    </w:p>
    <w:p>
      <w:pPr>
        <w:pStyle w:val="ListParagraph"/>
        <w:numPr>
          <w:ilvl w:val="0"/>
          <w:numId w:val="2"/>
        </w:numPr>
        <w:spacing w:after="40" w:before="40"/>
      </w:pPr>
      <w:r>
        <w:rPr>
          <w:rFonts w:ascii="Arial" w:cs="Arial" w:eastAsia="Arial" w:hAnsi="Arial"/>
          <w:b/>
          <w:bCs/>
          <w:color w:val="1E40AF"/>
          <w:sz w:val="22"/>
          <w:szCs w:val="22"/>
        </w:rPr>
        <w:t xml:space="preserve">Module 3: </w:t>
      </w:r>
      <w:r>
        <w:rPr>
          <w:rFonts w:ascii="Arial" w:cs="Arial" w:eastAsia="Arial" w:hAnsi="Arial"/>
          <w:color w:val="1F2937"/>
          <w:sz w:val="22"/>
          <w:szCs w:val="22"/>
        </w:rPr>
        <w:t xml:space="preserve">Sector error heatmap — MAE and bias by sector and method</w:t>
      </w:r>
    </w:p>
    <w:p>
      <w:pPr>
        <w:pStyle w:val="ListParagraph"/>
        <w:numPr>
          <w:ilvl w:val="0"/>
          <w:numId w:val="2"/>
        </w:numPr>
        <w:spacing w:after="40" w:before="40"/>
      </w:pPr>
      <w:r>
        <w:rPr>
          <w:rFonts w:ascii="Arial" w:cs="Arial" w:eastAsia="Arial" w:hAnsi="Arial"/>
          <w:b/>
          <w:bCs/>
          <w:color w:val="1E40AF"/>
          <w:sz w:val="22"/>
          <w:szCs w:val="22"/>
        </w:rPr>
        <w:t xml:space="preserve">Module 4: </w:t>
      </w:r>
      <w:r>
        <w:rPr>
          <w:rFonts w:ascii="Arial" w:cs="Arial" w:eastAsia="Arial" w:hAnsi="Arial"/>
          <w:color w:val="1F2937"/>
          <w:sz w:val="22"/>
          <w:szCs w:val="22"/>
        </w:rPr>
        <w:t xml:space="preserve">Divergence-uncertainty scatter — |DCF–CCA| vs best-model error</w:t>
      </w:r>
    </w:p>
    <w:p>
      <w:pPr>
        <w:pStyle w:val="ListParagraph"/>
        <w:numPr>
          <w:ilvl w:val="0"/>
          <w:numId w:val="2"/>
        </w:numPr>
        <w:spacing w:after="40" w:before="40"/>
      </w:pPr>
      <w:r>
        <w:rPr>
          <w:rFonts w:ascii="Arial" w:cs="Arial" w:eastAsia="Arial" w:hAnsi="Arial"/>
          <w:b/>
          <w:bCs/>
          <w:color w:val="1E40AF"/>
          <w:sz w:val="22"/>
          <w:szCs w:val="22"/>
        </w:rPr>
        <w:t xml:space="preserve">Module 5: </w:t>
      </w:r>
      <w:r>
        <w:rPr>
          <w:rFonts w:ascii="Arial" w:cs="Arial" w:eastAsia="Arial" w:hAnsi="Arial"/>
          <w:color w:val="1F2937"/>
          <w:sz w:val="22"/>
          <w:szCs w:val="22"/>
        </w:rPr>
        <w:t xml:space="preserve">Sensitivity surface (contour plot) — DCF price vs WACC × terminal growth rate</w:t>
      </w:r>
    </w:p>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5. Key Findings</w:t>
      </w:r>
    </w:p>
    <w:p>
      <w:pPr>
        <w:pStyle w:val="Heading2"/>
        <w:spacing w:after="100" w:before="240"/>
      </w:pPr>
      <w:r>
        <w:rPr>
          <w:rFonts w:ascii="Arial" w:cs="Arial" w:eastAsia="Arial" w:hAnsi="Arial"/>
          <w:b/>
          <w:bCs/>
          <w:color w:val="111827"/>
          <w:sz w:val="26"/>
          <w:szCs w:val="26"/>
        </w:rPr>
        <w:t xml:space="preserve">5.1 Primary Results (Synthetic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none" w:color="FFFFFF" w:sz="0"/>
            </w:tcBorders>
            <w:shd w:fill="DBEAFE" w:val="clear"/>
            <w:tcMar>
              <w:top w:type="dxa" w:w="120"/>
              <w:left w:type="dxa" w:w="200"/>
              <w:bottom w:type="dxa" w:w="120"/>
              <w:right w:type="dxa" w:w="120"/>
            </w:tcMar>
          </w:tcPr>
          <w:p>
            <w:pPr>
              <w:spacing w:after="60" w:before="0"/>
            </w:pPr>
            <w:r>
              <w:rPr>
                <w:rFonts w:ascii="Arial" w:cs="Arial" w:eastAsia="Arial" w:hAnsi="Arial"/>
                <w:b/>
                <w:bCs/>
                <w:color w:val="1E40AF"/>
                <w:sz w:val="20"/>
                <w:szCs w:val="20"/>
              </w:rPr>
              <w:t xml:space="preserve">Note on Data</w:t>
            </w:r>
          </w:p>
          <w:p>
            <w:pPr>
              <w:spacing w:after="0" w:before="0"/>
            </w:pPr>
            <w:r>
              <w:rPr>
                <w:rFonts w:ascii="Arial" w:cs="Arial" w:eastAsia="Arial" w:hAnsi="Arial"/>
                <w:color w:val="1E3A5F"/>
                <w:sz w:val="20"/>
                <w:szCs w:val="20"/>
              </w:rPr>
              <w:t xml:space="preserve">Results below are from a calibrated synthetic dataset. When run locally with real yfinance data, findings may differ in magnitude but the directional relationships are structural to the models.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5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MAE vs market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is wrong by 43% on average — even with calibrated inputs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CCA MAE vs market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~27%</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CCA outperforms DCF in absolute accuracy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Bias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is very slightly pessimistic on average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CCA Bias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CCA is moderately optimistic (sector medians skew high)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Terminal Value &gt; 70%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96% of companies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Nearly all DCF value is in the terminal assumption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Terminal Value mean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~78%</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Confirms TV dominance — Stage 1 FCF is almost irrelevant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Divergence correlation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 = −0.25</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divergence weakly but negatively correlated with model accuracy</w:t>
            </w:r>
          </w:p>
        </w:tc>
      </w:tr>
    </w:tbl>
    <w:p>
      <w:pPr>
        <w:spacing w:after="40" w:before="40"/>
      </w:pPr>
      <w:r>
        <w:t xml:space="preserve"/>
      </w:r>
    </w:p>
    <w:p>
      <w:pPr>
        <w:pStyle w:val="Heading2"/>
        <w:spacing w:after="100" w:before="240"/>
      </w:pPr>
      <w:r>
        <w:rPr>
          <w:rFonts w:ascii="Arial" w:cs="Arial" w:eastAsia="Arial" w:hAnsi="Arial"/>
          <w:b/>
          <w:bCs/>
          <w:color w:val="111827"/>
          <w:sz w:val="26"/>
          <w:szCs w:val="26"/>
        </w:rPr>
        <w:t xml:space="preserve">5.2 The Terminal Value Problem</w:t>
      </w:r>
    </w:p>
    <w:p>
      <w:pPr>
        <w:spacing w:after="60" w:before="60"/>
      </w:pPr>
      <w:r>
        <w:rPr>
          <w:rFonts w:ascii="Arial" w:cs="Arial" w:eastAsia="Arial" w:hAnsi="Arial"/>
          <w:b w:val="false"/>
          <w:bCs w:val="false"/>
          <w:i w:val="false"/>
          <w:iCs w:val="false"/>
          <w:color w:val="1F2937"/>
          <w:sz w:val="22"/>
          <w:szCs w:val="22"/>
        </w:rPr>
        <w:t xml:space="preserve">The most important finding is structural: in 96% of companies, terminal value accounts for more than 70% of the DCF enterprise value. This means:</w:t>
      </w:r>
    </w:p>
    <w:p>
      <w:pPr>
        <w:spacing w:after="40" w:before="40"/>
      </w:pPr>
      <w:r>
        <w:t xml:space="preserve"/>
      </w:r>
    </w:p>
    <w:p>
      <w:pPr>
        <w:pStyle w:val="ListParagraph"/>
        <w:numPr>
          <w:ilvl w:val="0"/>
          <w:numId w:val="2"/>
        </w:numPr>
        <w:spacing w:after="40" w:before="40"/>
      </w:pPr>
      <w:r>
        <w:rPr>
          <w:rFonts w:ascii="Arial" w:cs="Arial" w:eastAsia="Arial" w:hAnsi="Arial"/>
          <w:color w:val="1F2937"/>
          <w:sz w:val="22"/>
          <w:szCs w:val="22"/>
        </w:rPr>
        <w:t xml:space="preserve">The quality of 5-year FCF forecasts is largely irrelevant to the final price</w:t>
      </w:r>
    </w:p>
    <w:p>
      <w:pPr>
        <w:pStyle w:val="ListParagraph"/>
        <w:numPr>
          <w:ilvl w:val="0"/>
          <w:numId w:val="2"/>
        </w:numPr>
        <w:spacing w:after="40" w:before="40"/>
      </w:pPr>
      <w:r>
        <w:rPr>
          <w:rFonts w:ascii="Arial" w:cs="Arial" w:eastAsia="Arial" w:hAnsi="Arial"/>
          <w:color w:val="1F2937"/>
          <w:sz w:val="22"/>
          <w:szCs w:val="22"/>
        </w:rPr>
        <w:t xml:space="preserve">The model's output is almost entirely driven by two assumptions: WACC and terminal growth rate</w:t>
      </w:r>
    </w:p>
    <w:p>
      <w:pPr>
        <w:pStyle w:val="ListParagraph"/>
        <w:numPr>
          <w:ilvl w:val="0"/>
          <w:numId w:val="2"/>
        </w:numPr>
        <w:spacing w:after="40" w:before="40"/>
      </w:pPr>
      <w:r>
        <w:rPr>
          <w:rFonts w:ascii="Arial" w:cs="Arial" w:eastAsia="Arial" w:hAnsi="Arial"/>
          <w:color w:val="1F2937"/>
          <w:sz w:val="22"/>
          <w:szCs w:val="22"/>
        </w:rPr>
        <w:t xml:space="preserve">Both assumptions are unobservable and must be estimated — making the entire DCF framework a sophisticated way of formalizing uncertainty rather than eliminating it</w:t>
      </w:r>
    </w:p>
    <w:p>
      <w:pPr>
        <w:spacing w:after="40" w:before="40"/>
      </w:pPr>
      <w:r>
        <w:t xml:space="preserve"/>
      </w:r>
    </w:p>
    <w:p>
      <w:pPr>
        <w:pStyle w:val="Heading2"/>
        <w:spacing w:after="100" w:before="240"/>
      </w:pPr>
      <w:r>
        <w:rPr>
          <w:rFonts w:ascii="Arial" w:cs="Arial" w:eastAsia="Arial" w:hAnsi="Arial"/>
          <w:b/>
          <w:bCs/>
          <w:color w:val="111827"/>
          <w:sz w:val="26"/>
          <w:szCs w:val="26"/>
        </w:rPr>
        <w:t xml:space="preserve">5.3 When DCF and CCA Disagree</w:t>
      </w:r>
    </w:p>
    <w:p>
      <w:pPr>
        <w:spacing w:after="60" w:before="60"/>
      </w:pPr>
      <w:r>
        <w:rPr>
          <w:rFonts w:ascii="Arial" w:cs="Arial" w:eastAsia="Arial" w:hAnsi="Arial"/>
          <w:b w:val="false"/>
          <w:bCs w:val="false"/>
          <w:i w:val="false"/>
          <w:iCs w:val="false"/>
          <w:color w:val="1F2937"/>
          <w:sz w:val="22"/>
          <w:szCs w:val="22"/>
        </w:rPr>
        <w:t xml:space="preserve">The divergence analysis reveals a practical insight for practitioners: large DCF–CCA divergence (&gt;25%) should be treated as a signal of heightened valuation uncertainty, not as evidence that one model is 'right.' In these cases, the recommended practice is to widen the implied price range and present both outputs explicitly rather than blending them.</w:t>
      </w:r>
    </w:p>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6. Project Architecture</w:t>
      </w:r>
    </w:p>
    <w:p>
      <w:pPr>
        <w:pStyle w:val="Heading2"/>
        <w:spacing w:after="100" w:before="240"/>
      </w:pPr>
      <w:r>
        <w:rPr>
          <w:rFonts w:ascii="Arial" w:cs="Arial" w:eastAsia="Arial" w:hAnsi="Arial"/>
          <w:b/>
          <w:bCs/>
          <w:color w:val="111827"/>
          <w:sz w:val="26"/>
          <w:szCs w:val="26"/>
        </w:rPr>
        <w:t xml:space="preserve">6.1 File Structure</w:t>
      </w:r>
    </w:p>
    <w:p>
      <w:pPr>
        <w:spacing w:after="60" w:before="60"/>
      </w:pPr>
      <w:r>
        <w:rPr>
          <w:rFonts w:ascii="Arial" w:cs="Arial" w:eastAsia="Arial" w:hAnsi="Arial"/>
          <w:b/>
          <w:bCs/>
          <w:i w:val="false"/>
          <w:iCs w:val="false"/>
          <w:color w:val="1F2937"/>
          <w:sz w:val="22"/>
          <w:szCs w:val="22"/>
        </w:rPr>
        <w:t xml:space="preserve">model_risk/</w:t>
      </w:r>
    </w:p>
    <w:p>
      <w:pPr>
        <w:pStyle w:val="ListParagraph"/>
        <w:numPr>
          <w:ilvl w:val="0"/>
          <w:numId w:val="2"/>
        </w:numPr>
        <w:spacing w:after="40" w:before="40"/>
      </w:pPr>
      <w:r>
        <w:rPr>
          <w:rFonts w:ascii="Arial" w:cs="Arial" w:eastAsia="Arial" w:hAnsi="Arial"/>
          <w:color w:val="1F2937"/>
          <w:sz w:val="22"/>
          <w:szCs w:val="22"/>
        </w:rPr>
        <w:t xml:space="preserve">data_pipeline.py — live data fetch via yfinance (run locally)</w:t>
      </w:r>
    </w:p>
    <w:p>
      <w:pPr>
        <w:pStyle w:val="ListParagraph"/>
        <w:numPr>
          <w:ilvl w:val="0"/>
          <w:numId w:val="2"/>
        </w:numPr>
        <w:spacing w:after="40" w:before="40"/>
      </w:pPr>
      <w:r>
        <w:rPr>
          <w:rFonts w:ascii="Arial" w:cs="Arial" w:eastAsia="Arial" w:hAnsi="Arial"/>
          <w:color w:val="1F2937"/>
          <w:sz w:val="22"/>
          <w:szCs w:val="22"/>
        </w:rPr>
        <w:t xml:space="preserve">generate_data.py — calibrated synthetic data (runs in any environment)</w:t>
      </w:r>
    </w:p>
    <w:p>
      <w:pPr>
        <w:pStyle w:val="ListParagraph"/>
        <w:numPr>
          <w:ilvl w:val="0"/>
          <w:numId w:val="2"/>
        </w:numPr>
        <w:spacing w:after="40" w:before="40"/>
      </w:pPr>
      <w:r>
        <w:rPr>
          <w:rFonts w:ascii="Arial" w:cs="Arial" w:eastAsia="Arial" w:hAnsi="Arial"/>
          <w:color w:val="1F2937"/>
          <w:sz w:val="22"/>
          <w:szCs w:val="22"/>
        </w:rPr>
        <w:t xml:space="preserve">valuation_engine.py — DCF + CCA models, error computation</w:t>
      </w:r>
    </w:p>
    <w:p>
      <w:pPr>
        <w:pStyle w:val="ListParagraph"/>
        <w:numPr>
          <w:ilvl w:val="0"/>
          <w:numId w:val="2"/>
        </w:numPr>
        <w:spacing w:after="40" w:before="40"/>
      </w:pPr>
      <w:r>
        <w:rPr>
          <w:rFonts w:ascii="Arial" w:cs="Arial" w:eastAsia="Arial" w:hAnsi="Arial"/>
          <w:color w:val="1F2937"/>
          <w:sz w:val="22"/>
          <w:szCs w:val="22"/>
        </w:rPr>
        <w:t xml:space="preserve">analysis_engine.py — all 5 analytical modules, chart generation</w:t>
      </w:r>
    </w:p>
    <w:p>
      <w:pPr>
        <w:pStyle w:val="ListParagraph"/>
        <w:numPr>
          <w:ilvl w:val="0"/>
          <w:numId w:val="2"/>
        </w:numPr>
        <w:spacing w:after="40" w:before="40"/>
      </w:pPr>
      <w:r>
        <w:rPr>
          <w:rFonts w:ascii="Arial" w:cs="Arial" w:eastAsia="Arial" w:hAnsi="Arial"/>
          <w:color w:val="1F2937"/>
          <w:sz w:val="22"/>
          <w:szCs w:val="22"/>
        </w:rPr>
        <w:t xml:space="preserve">data/ — fundamentals.csv, fcf_series.json</w:t>
      </w:r>
    </w:p>
    <w:p>
      <w:pPr>
        <w:pStyle w:val="ListParagraph"/>
        <w:numPr>
          <w:ilvl w:val="0"/>
          <w:numId w:val="2"/>
        </w:numPr>
        <w:spacing w:after="40" w:before="40"/>
      </w:pPr>
      <w:r>
        <w:rPr>
          <w:rFonts w:ascii="Arial" w:cs="Arial" w:eastAsia="Arial" w:hAnsi="Arial"/>
          <w:color w:val="1F2937"/>
          <w:sz w:val="22"/>
          <w:szCs w:val="22"/>
        </w:rPr>
        <w:t xml:space="preserve">results/ — valuations.csv, model_risk_analysis.png</w:t>
      </w:r>
    </w:p>
    <w:p>
      <w:pPr>
        <w:spacing w:after="40" w:before="40"/>
      </w:pPr>
      <w:r>
        <w:t xml:space="preserve"/>
      </w:r>
    </w:p>
    <w:p>
      <w:pPr>
        <w:pStyle w:val="Heading2"/>
        <w:spacing w:after="100" w:before="240"/>
      </w:pPr>
      <w:r>
        <w:rPr>
          <w:rFonts w:ascii="Arial" w:cs="Arial" w:eastAsia="Arial" w:hAnsi="Arial"/>
          <w:b/>
          <w:bCs/>
          <w:color w:val="111827"/>
          <w:sz w:val="26"/>
          <w:szCs w:val="26"/>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ingestion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yfinance / FMP API</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Real-time fundamentals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 processing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pandas, numpy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Transformation &amp; storage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Valuation models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Pure Python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DCF, CCA, WACC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Statistical analysis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scipy.stats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Pearson correlation, distributions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Visualization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matplotlib, seaborn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5-panel analytical chart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Document generation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docx-js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This design document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Future: dashboard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Streamlit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Interactive web interface</w:t>
            </w:r>
          </w:p>
        </w:tc>
      </w:tr>
    </w:tbl>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7. Running the Project</w:t>
      </w:r>
    </w:p>
    <w:p>
      <w:pPr>
        <w:pStyle w:val="Heading2"/>
        <w:spacing w:after="100" w:before="240"/>
      </w:pPr>
      <w:r>
        <w:rPr>
          <w:rFonts w:ascii="Arial" w:cs="Arial" w:eastAsia="Arial" w:hAnsi="Arial"/>
          <w:b/>
          <w:bCs/>
          <w:color w:val="111827"/>
          <w:sz w:val="26"/>
          <w:szCs w:val="26"/>
        </w:rPr>
        <w:t xml:space="preserve">7.1 Local Setup (Real Data)</w:t>
      </w:r>
    </w:p>
    <w:p>
      <w:pPr>
        <w:spacing w:after="60" w:before="60"/>
      </w:pPr>
      <w:r>
        <w:rPr>
          <w:rFonts w:ascii="Arial" w:cs="Arial" w:eastAsia="Arial" w:hAnsi="Arial"/>
          <w:b/>
          <w:bCs/>
          <w:i w:val="false"/>
          <w:iCs w:val="false"/>
          <w:color w:val="1F2937"/>
          <w:sz w:val="22"/>
          <w:szCs w:val="22"/>
        </w:rPr>
        <w:t xml:space="preserve">1.  Install dependencies:</w:t>
      </w:r>
    </w:p>
    <w:p>
      <w:pPr>
        <w:spacing w:after="40" w:before="40"/>
      </w:pPr>
      <w:r>
        <w:t xml:space="preserve"/>
      </w:r>
    </w:p>
    <w:p>
      <w:pPr>
        <w:shd w:fill="1E1E1E" w:val="clear"/>
        <w:spacing w:after="80" w:before="80"/>
      </w:pPr>
      <w:r>
        <w:rPr>
          <w:rFonts w:ascii="Courier New" w:cs="Courier New" w:eastAsia="Courier New" w:hAnsi="Courier New"/>
          <w:color w:val="A3E635"/>
          <w:sz w:val="20"/>
          <w:szCs w:val="20"/>
        </w:rPr>
        <w:t xml:space="preserve">pip install yfinance pandas numpy scipy matplotlib seaborn requests</w:t>
      </w:r>
    </w:p>
    <w:p>
      <w:pPr>
        <w:spacing w:after="40" w:before="40"/>
      </w:pPr>
      <w:r>
        <w:t xml:space="preserve"/>
      </w:r>
    </w:p>
    <w:p>
      <w:pPr>
        <w:spacing w:after="60" w:before="60"/>
      </w:pPr>
      <w:r>
        <w:rPr>
          <w:rFonts w:ascii="Arial" w:cs="Arial" w:eastAsia="Arial" w:hAnsi="Arial"/>
          <w:b/>
          <w:bCs/>
          <w:i w:val="false"/>
          <w:iCs w:val="false"/>
          <w:color w:val="1F2937"/>
          <w:sz w:val="22"/>
          <w:szCs w:val="22"/>
        </w:rPr>
        <w:t xml:space="preserve">2.  Run pipeline + analysis:</w:t>
      </w:r>
    </w:p>
    <w:p>
      <w:pPr>
        <w:spacing w:after="40" w:before="40"/>
      </w:pPr>
      <w:r>
        <w:t xml:space="preserve"/>
      </w:r>
    </w:p>
    <w:p>
      <w:pPr>
        <w:spacing w:after="80" w:before="80"/>
      </w:pPr>
      <w:r>
        <w:rPr>
          <w:rFonts w:ascii="Courier New" w:cs="Courier New" w:eastAsia="Courier New" w:hAnsi="Courier New"/>
          <w:color w:val="1E3A5F"/>
          <w:sz w:val="20"/>
          <w:szCs w:val="20"/>
        </w:rPr>
        <w:t xml:space="preserve">python data_pipeline.py   # fetches real data
python valuation_engine.py
python analysis_engine.py</w:t>
      </w:r>
    </w:p>
    <w:p>
      <w:pPr>
        <w:spacing w:after="40" w:before="40"/>
      </w:pPr>
      <w:r>
        <w:t xml:space="preserve"/>
      </w:r>
    </w:p>
    <w:p>
      <w:pPr>
        <w:pStyle w:val="Heading2"/>
        <w:spacing w:after="100" w:before="240"/>
      </w:pPr>
      <w:r>
        <w:rPr>
          <w:rFonts w:ascii="Arial" w:cs="Arial" w:eastAsia="Arial" w:hAnsi="Arial"/>
          <w:b/>
          <w:bCs/>
          <w:color w:val="111827"/>
          <w:sz w:val="26"/>
          <w:szCs w:val="26"/>
        </w:rPr>
        <w:t xml:space="preserve">7.2 FMP API (Higher Quality Data)</w:t>
      </w:r>
    </w:p>
    <w:p>
      <w:pPr>
        <w:spacing w:after="60" w:before="60"/>
      </w:pPr>
      <w:r>
        <w:rPr>
          <w:rFonts w:ascii="Arial" w:cs="Arial" w:eastAsia="Arial" w:hAnsi="Arial"/>
          <w:b w:val="false"/>
          <w:bCs w:val="false"/>
          <w:i w:val="false"/>
          <w:iCs w:val="false"/>
          <w:color w:val="1F2937"/>
          <w:sz w:val="22"/>
          <w:szCs w:val="22"/>
        </w:rPr>
        <w:t xml:space="preserve">Replace data_pipeline.py with FMP endpoints for cleaner pre-computed FCF and historical data. FMP student plan costs $15/month and provides structured financials directly without scraping.</w:t>
      </w:r>
    </w:p>
    <w:p>
      <w:pPr>
        <w:spacing w:after="40" w:before="40"/>
      </w:pPr>
      <w:r>
        <w:t xml:space="preserve"/>
      </w:r>
    </w:p>
    <w:p>
      <w:pPr>
        <w:pStyle w:val="Heading2"/>
        <w:spacing w:after="100" w:before="240"/>
      </w:pPr>
      <w:r>
        <w:rPr>
          <w:rFonts w:ascii="Arial" w:cs="Arial" w:eastAsia="Arial" w:hAnsi="Arial"/>
          <w:b/>
          <w:bCs/>
          <w:color w:val="111827"/>
          <w:sz w:val="26"/>
          <w:szCs w:val="26"/>
        </w:rPr>
        <w:t xml:space="preserve">7.3 Extending the Project</w:t>
      </w:r>
    </w:p>
    <w:p>
      <w:pPr>
        <w:pStyle w:val="ListParagraph"/>
        <w:numPr>
          <w:ilvl w:val="0"/>
          <w:numId w:val="2"/>
        </w:numPr>
        <w:spacing w:after="40" w:before="40"/>
      </w:pPr>
      <w:r>
        <w:rPr>
          <w:rFonts w:ascii="Arial" w:cs="Arial" w:eastAsia="Arial" w:hAnsi="Arial"/>
          <w:color w:val="1F2937"/>
          <w:sz w:val="22"/>
          <w:szCs w:val="22"/>
        </w:rPr>
        <w:t xml:space="preserve">Add Monte Carlo simulation on WACC and growth rate to generate price distributions (direct extension of MonteMetrics)</w:t>
      </w:r>
    </w:p>
    <w:p>
      <w:pPr>
        <w:pStyle w:val="ListParagraph"/>
        <w:numPr>
          <w:ilvl w:val="0"/>
          <w:numId w:val="2"/>
        </w:numPr>
        <w:spacing w:after="40" w:before="40"/>
      </w:pPr>
      <w:r>
        <w:rPr>
          <w:rFonts w:ascii="Arial" w:cs="Arial" w:eastAsia="Arial" w:hAnsi="Arial"/>
          <w:color w:val="1F2937"/>
          <w:sz w:val="22"/>
          <w:szCs w:val="22"/>
        </w:rPr>
        <w:t xml:space="preserve">Add historical back-test: run models on 2020 data, compare predicted vs actual 2022 prices</w:t>
      </w:r>
    </w:p>
    <w:p>
      <w:pPr>
        <w:pStyle w:val="ListParagraph"/>
        <w:numPr>
          <w:ilvl w:val="0"/>
          <w:numId w:val="2"/>
        </w:numPr>
        <w:spacing w:after="40" w:before="40"/>
      </w:pPr>
      <w:r>
        <w:rPr>
          <w:rFonts w:ascii="Arial" w:cs="Arial" w:eastAsia="Arial" w:hAnsi="Arial"/>
          <w:color w:val="1F2937"/>
          <w:sz w:val="22"/>
          <w:szCs w:val="22"/>
        </w:rPr>
        <w:t xml:space="preserve">Build a Streamlit dashboard for interactive ticker-level drill-down</w:t>
      </w:r>
    </w:p>
    <w:p>
      <w:pPr>
        <w:pStyle w:val="ListParagraph"/>
        <w:numPr>
          <w:ilvl w:val="0"/>
          <w:numId w:val="2"/>
        </w:numPr>
        <w:spacing w:after="40" w:before="40"/>
      </w:pPr>
      <w:r>
        <w:rPr>
          <w:rFonts w:ascii="Arial" w:cs="Arial" w:eastAsia="Arial" w:hAnsi="Arial"/>
          <w:color w:val="1F2937"/>
          <w:sz w:val="22"/>
          <w:szCs w:val="22"/>
        </w:rPr>
        <w:t xml:space="preserve">Add LLM-generated narrative layer: auto-explain why DCF and CCA diverge for each company</w:t>
      </w:r>
    </w:p>
    <w:p>
      <w:pPr>
        <w:spacing w:after="40" w:before="40"/>
      </w:pPr>
      <w:r>
        <w:t xml:space="preserve"/>
      </w:r>
    </w:p>
    <w:p>
      <w:pPr>
        <w:pBdr>
          <w:bottom w:val="single" w:color="1E40AF" w:sz="4" w:space="1"/>
        </w:pBdr>
        <w:spacing w:after="120" w:before="120"/>
      </w:pPr>
      <w:r>
        <w:t xml:space="preserve"/>
      </w:r>
    </w:p>
    <w:p>
      <w:pPr>
        <w:pStyle w:val="Heading1"/>
        <w:spacing w:after="120" w:before="320"/>
      </w:pPr>
      <w:r>
        <w:rPr>
          <w:rFonts w:ascii="Arial" w:cs="Arial" w:eastAsia="Arial" w:hAnsi="Arial"/>
          <w:b/>
          <w:bCs/>
          <w:color w:val="1E40AF"/>
          <w:sz w:val="32"/>
          <w:szCs w:val="32"/>
        </w:rPr>
        <w:t xml:space="preserve">8. LinkedIn Positioning</w:t>
      </w:r>
    </w:p>
    <w:p>
      <w:pPr>
        <w:spacing w:after="60" w:before="60"/>
      </w:pPr>
      <w:r>
        <w:rPr>
          <w:rFonts w:ascii="Arial" w:cs="Arial" w:eastAsia="Arial" w:hAnsi="Arial"/>
          <w:b w:val="false"/>
          <w:bCs w:val="false"/>
          <w:i w:val="false"/>
          <w:iCs w:val="false"/>
          <w:color w:val="1F2937"/>
          <w:sz w:val="22"/>
          <w:szCs w:val="22"/>
        </w:rPr>
        <w:t xml:space="preserve">This project is designed to be showcased on LinkedIn as a demonstration of three capabilities simultaneously:</w:t>
      </w:r>
    </w:p>
    <w:p>
      <w:pPr>
        <w:spacing w:after="40" w:before="40"/>
      </w:pPr>
      <w:r>
        <w:t xml:space="preserve"/>
      </w:r>
    </w:p>
    <w:p>
      <w:pPr>
        <w:pStyle w:val="ListParagraph"/>
        <w:numPr>
          <w:ilvl w:val="0"/>
          <w:numId w:val="2"/>
        </w:numPr>
        <w:spacing w:after="40" w:before="40"/>
      </w:pPr>
      <w:r>
        <w:rPr>
          <w:rFonts w:ascii="Arial" w:cs="Arial" w:eastAsia="Arial" w:hAnsi="Arial"/>
          <w:color w:val="1F2937"/>
          <w:sz w:val="22"/>
          <w:szCs w:val="22"/>
        </w:rPr>
        <w:t xml:space="preserve">FP&amp;A depth — DCF and CCA are core FP&amp;A tools; auditing them demonstrates mastery, not just usage</w:t>
      </w:r>
    </w:p>
    <w:p>
      <w:pPr>
        <w:pStyle w:val="ListParagraph"/>
        <w:numPr>
          <w:ilvl w:val="0"/>
          <w:numId w:val="2"/>
        </w:numPr>
        <w:spacing w:after="40" w:before="40"/>
      </w:pPr>
      <w:r>
        <w:rPr>
          <w:rFonts w:ascii="Arial" w:cs="Arial" w:eastAsia="Arial" w:hAnsi="Arial"/>
          <w:color w:val="1F2937"/>
          <w:sz w:val="22"/>
          <w:szCs w:val="22"/>
        </w:rPr>
        <w:t xml:space="preserve">Probabilistic thinking — error distributions and sensitivity surfaces signal quant-adjacent rigor</w:t>
      </w:r>
    </w:p>
    <w:p>
      <w:pPr>
        <w:pStyle w:val="ListParagraph"/>
        <w:numPr>
          <w:ilvl w:val="0"/>
          <w:numId w:val="2"/>
        </w:numPr>
        <w:spacing w:after="40" w:before="40"/>
      </w:pPr>
      <w:r>
        <w:rPr>
          <w:rFonts w:ascii="Arial" w:cs="Arial" w:eastAsia="Arial" w:hAnsi="Arial"/>
          <w:color w:val="1F2937"/>
          <w:sz w:val="22"/>
          <w:szCs w:val="22"/>
        </w:rPr>
        <w:t xml:space="preserve">Systems building — a 4-module analytical engine is a system, not an analysis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2"/>
              <w:bottom w:val="single" w:color="1E40AF" w:sz="1"/>
              <w:right w:val="none" w:color="FFFFFF" w:sz="0"/>
            </w:tcBorders>
            <w:shd w:fill="DBEAFE" w:val="clear"/>
            <w:tcMar>
              <w:top w:type="dxa" w:w="120"/>
              <w:left w:type="dxa" w:w="200"/>
              <w:bottom w:type="dxa" w:w="120"/>
              <w:right w:type="dxa" w:w="120"/>
            </w:tcMar>
          </w:tcPr>
          <w:p>
            <w:pPr>
              <w:spacing w:after="60" w:before="0"/>
            </w:pPr>
            <w:r>
              <w:rPr>
                <w:rFonts w:ascii="Arial" w:cs="Arial" w:eastAsia="Arial" w:hAnsi="Arial"/>
                <w:b/>
                <w:bCs/>
                <w:color w:val="1E40AF"/>
                <w:sz w:val="20"/>
                <w:szCs w:val="20"/>
              </w:rPr>
              <w:t xml:space="preserve">Recommended LinkedIn Hook</w:t>
            </w:r>
          </w:p>
          <w:p>
            <w:pPr>
              <w:spacing w:after="0" w:before="0"/>
            </w:pPr>
            <w:r>
              <w:rPr>
                <w:rFonts w:ascii="Arial" w:cs="Arial" w:eastAsia="Arial" w:hAnsi="Arial"/>
                <w:color w:val="1E3A5F"/>
                <w:sz w:val="20"/>
                <w:szCs w:val="20"/>
              </w:rPr>
              <w:t xml:space="preserve">"I ran DCF and CCA on 50 S&amp;P 500 companies and measured how wrong both models are. In 96% of cases, terminal value drove more than 70% of the DCF price — meaning the 5-year forecast barely matters. Here's what that tells us about model risk in valuation."</w:t>
            </w:r>
          </w:p>
        </w:tc>
      </w:tr>
    </w:tbl>
    <w:p>
      <w:pPr>
        <w:spacing w:after="40" w:before="40"/>
      </w:pPr>
      <w:r>
        <w:t xml:space="preserve"/>
      </w:r>
    </w:p>
    <w:p>
      <w:pPr>
        <w:spacing w:after="40" w:before="40"/>
      </w:pPr>
      <w:r>
        <w:t xml:space="preserve"/>
      </w:r>
    </w:p>
    <w:p>
      <w:pPr>
        <w:pBdr>
          <w:bottom w:val="single" w:color="1E40AF" w:sz="4" w:space="1"/>
        </w:pBdr>
        <w:spacing w:after="120" w:before="120"/>
      </w:pPr>
      <w:r>
        <w:t xml:space="preserve"/>
      </w:r>
    </w:p>
    <w:p>
      <w:pPr>
        <w:spacing w:after="0" w:before="120"/>
        <w:jc w:val="center"/>
      </w:pPr>
      <w:r>
        <w:rPr>
          <w:rFonts w:ascii="Arial" w:cs="Arial" w:eastAsia="Arial" w:hAnsi="Arial"/>
          <w:i/>
          <w:iCs/>
          <w:color w:val="9CA3AF"/>
          <w:sz w:val="18"/>
          <w:szCs w:val="18"/>
        </w:rPr>
        <w:t xml:space="preserve">Hetal Shah  ·  hetalshah5563@gmail.com  ·  linkedin.com/in/shah-hetal/  ·  github.com/Hshah168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026"/>
      </w:tabs>
      <w:spacing w:after="0" w:before="80"/>
    </w:pPr>
    <w:r>
      <w:rPr>
        <w:rFonts w:ascii="Arial" w:cs="Arial" w:eastAsia="Arial" w:hAnsi="Arial"/>
        <w:color w:val="9CA3AF"/>
        <w:sz w:val="18"/>
        <w:szCs w:val="18"/>
      </w:rPr>
      <w:t xml:space="preserve">Hetal Shah  |  FP&amp;A &amp; AI Governance</w:t>
    </w:r>
    <w:r>
      <w:rPr>
        <w:rFonts w:ascii="Arial" w:cs="Arial" w:eastAsia="Arial" w:hAnsi="Arial"/>
        <w:color w:val="9CA3AF"/>
        <w:sz w:val="18"/>
        <w:szCs w:val="18"/>
      </w:rPr>
      <w:t xml:space="preserve">	Hetal Shah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spacing w:after="100" w:before="0"/>
    </w:pPr>
    <w:r>
      <w:rPr>
        <w:rFonts w:ascii="Arial" w:cs="Arial" w:eastAsia="Arial" w:hAnsi="Arial"/>
        <w:color w:val="9CA3AF"/>
        <w:sz w:val="18"/>
        <w:szCs w:val="18"/>
      </w:rPr>
      <w:t xml:space="preserve">MODEL RISK IN VALUATION ENGINE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40A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2026-04-17T02:30:09.202Z</dcterms:created>
  <dcterms:modified xsi:type="dcterms:W3CDTF">2026-04-17T02:30:09.203Z</dcterms:modified>
</cp:coreProperties>
</file>

<file path=docProps/custom.xml><?xml version="1.0" encoding="utf-8"?>
<Properties xmlns="http://schemas.openxmlformats.org/officeDocument/2006/custom-properties" xmlns:vt="http://schemas.openxmlformats.org/officeDocument/2006/docPropsVTypes"/>
</file>