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r w:rsidRPr="008A52AD">
        <w:rPr>
          <w:rFonts w:ascii="Times New Roman" w:hAnsi="Times New Roman" w:cs="Times New Roman"/>
        </w:rPr>
        <w:t>Hsing-Kuang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000000"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8A52AD"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000000"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Yigitbasioglu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8A52AD">
        <w:rPr>
          <w:rFonts w:ascii="Times New Roman" w:hAnsi="Times New Roman" w:cs="Times New Roman"/>
          <w:color w:val="0070C0"/>
        </w:rPr>
        <w:t>Scapens</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Jazayeri</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r w:rsidRPr="008A52AD">
        <w:rPr>
          <w:rFonts w:ascii="Times New Roman" w:hAnsi="Times New Roman" w:cs="Times New Roman"/>
          <w:color w:val="0070C0"/>
        </w:rPr>
        <w:t>Nicolaou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r w:rsidRPr="008A52AD">
        <w:rPr>
          <w:rFonts w:ascii="Times New Roman" w:hAnsi="Times New Roman" w:cs="Times New Roman"/>
          <w:color w:val="0070C0"/>
        </w:rPr>
        <w:t>Kanellou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Spathis</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r w:rsidRPr="008A52AD">
        <w:rPr>
          <w:rFonts w:ascii="Times New Roman" w:hAnsi="Times New Roman" w:cs="Times New Roman"/>
          <w:color w:val="0070C0"/>
        </w:rPr>
        <w:t>Hitt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r w:rsidRPr="008A52AD">
        <w:rPr>
          <w:rFonts w:ascii="Times New Roman" w:hAnsi="Times New Roman" w:cs="Times New Roman"/>
          <w:color w:val="0070C0"/>
        </w:rPr>
        <w:t>Hunton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Laksmana</w:t>
      </w:r>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8A52AD">
        <w:rPr>
          <w:rFonts w:ascii="Times New Roman" w:hAnsi="Times New Roman" w:cs="Times New Roman"/>
          <w:color w:val="0070C0"/>
        </w:rPr>
        <w:t>Tiron-Tudor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r w:rsidRPr="008A52AD">
        <w:rPr>
          <w:rFonts w:ascii="Times New Roman" w:hAnsi="Times New Roman" w:cs="Times New Roman"/>
          <w:color w:val="0070C0"/>
        </w:rPr>
        <w:t>Asatiani et al. 2020</w:t>
      </w:r>
      <w:r w:rsidRPr="008A52AD">
        <w:rPr>
          <w:rFonts w:ascii="Times New Roman" w:hAnsi="Times New Roman" w:cs="Times New Roman"/>
        </w:rPr>
        <w:t xml:space="preserve">; </w:t>
      </w:r>
      <w:r w:rsidR="00C96BAC" w:rsidRPr="008A52AD">
        <w:rPr>
          <w:rFonts w:ascii="Times New Roman" w:hAnsi="Times New Roman" w:cs="Times New Roman"/>
          <w:color w:val="0070C0"/>
        </w:rPr>
        <w:t>Stravinskienė and Serafinas</w:t>
      </w:r>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1CBF8C85"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83 firms utilizing RPA against a control group of 83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Pr="008A52AD">
        <w:rPr>
          <w:rFonts w:ascii="Times New Roman" w:hAnsi="Times New Roman" w:cs="Times New Roman"/>
          <w:color w:val="FF0000"/>
        </w:rPr>
        <w:t>UiPath</w:t>
      </w:r>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r w:rsidRPr="008A52AD">
        <w:rPr>
          <w:rFonts w:ascii="Times New Roman" w:hAnsi="Times New Roman" w:cs="Times New Roman"/>
          <w:color w:val="0070C0"/>
        </w:rPr>
        <w:t>Jędrzejka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r w:rsidRPr="008A52AD">
        <w:rPr>
          <w:rFonts w:ascii="Times New Roman" w:hAnsi="Times New Roman" w:cs="Times New Roman"/>
          <w:color w:val="0070C0"/>
        </w:rPr>
        <w:t>Jędrzejka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r w:rsidRPr="008A52AD">
        <w:rPr>
          <w:rFonts w:ascii="Times New Roman" w:hAnsi="Times New Roman" w:cs="Times New Roman"/>
          <w:color w:val="0070C0"/>
        </w:rPr>
        <w:t>Jędrzejka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and Roztocki</w:t>
      </w:r>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r w:rsidR="0014301C" w:rsidRPr="008A52AD">
        <w:rPr>
          <w:rFonts w:ascii="Times New Roman" w:hAnsi="Times New Roman" w:cs="Times New Roman"/>
          <w:color w:val="0070C0"/>
        </w:rPr>
        <w:t>Jędrzejka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r w:rsidRPr="008A52AD">
        <w:rPr>
          <w:rFonts w:ascii="Times New Roman" w:hAnsi="Times New Roman" w:cs="Times New Roman"/>
          <w:color w:val="0070C0"/>
        </w:rPr>
        <w:t>Jędrzejka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r w:rsidR="00270595" w:rsidRPr="008A52AD">
        <w:rPr>
          <w:rFonts w:ascii="Times New Roman" w:hAnsi="Times New Roman" w:cs="Times New Roman"/>
          <w:color w:val="0070C0"/>
        </w:rPr>
        <w:t>Tiron-Tudor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8A52AD">
        <w:rPr>
          <w:rFonts w:ascii="Times New Roman" w:hAnsi="Times New Roman" w:cs="Times New Roman"/>
          <w:color w:val="0070C0"/>
        </w:rPr>
        <w:t>Jędrzejka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Roztocki</w:t>
      </w:r>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8A52AD">
        <w:rPr>
          <w:rFonts w:ascii="Times New Roman" w:hAnsi="Times New Roman" w:cs="Times New Roman"/>
          <w:color w:val="0070C0"/>
        </w:rPr>
        <w:t>Jędrzejka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Healy and Wahlen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color w:val="0070C0"/>
        </w:rPr>
        <w:t>Brazel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Grabski</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Brazel and Dang's findings, subsequent research by </w:t>
      </w:r>
      <w:r w:rsidR="002F5090" w:rsidRPr="008A52AD">
        <w:rPr>
          <w:rFonts w:ascii="Times New Roman" w:hAnsi="Times New Roman" w:cs="Times New Roman"/>
          <w:color w:val="0070C0"/>
        </w:rPr>
        <w:t>Morris and Laksmana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Morris and Laksmana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r w:rsidR="005A54F2" w:rsidRPr="008A52AD">
        <w:rPr>
          <w:rFonts w:ascii="Times New Roman" w:hAnsi="Times New Roman" w:cs="Times New Roman"/>
        </w:rPr>
        <w:t>TPEx</w:t>
      </w:r>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772CDB38"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was publicly listed during the specified period, 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7B5748DA"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Morris and Laksmana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83 comparable individual firms without RPA implementation as a control group</w:t>
      </w:r>
      <w:r w:rsidR="007132F4">
        <w:rPr>
          <w:rFonts w:ascii="Times New Roman" w:eastAsiaTheme="minorEastAsia" w:hAnsi="Times New Roman" w:cs="Times New Roman" w:hint="eastAsia"/>
        </w:rPr>
        <w:t xml:space="preserve">. </w:t>
      </w:r>
      <w:r w:rsidR="007132F4" w:rsidRPr="007132F4">
        <w:rPr>
          <w:rFonts w:ascii="Times New Roman" w:hAnsi="Times New Roman" w:cs="Times New Roman"/>
        </w:rPr>
        <w:t xml:space="preserve">We </w:t>
      </w:r>
      <w:r w:rsidR="007132F4">
        <w:rPr>
          <w:rFonts w:ascii="Times New Roman" w:eastAsiaTheme="minorEastAsia" w:hAnsi="Times New Roman" w:cs="Times New Roman" w:hint="eastAsia"/>
        </w:rPr>
        <w:t>utiliz</w:t>
      </w:r>
      <w:r w:rsidR="007132F4" w:rsidRPr="007132F4">
        <w:rPr>
          <w:rFonts w:ascii="Times New Roman" w:hAnsi="Times New Roman" w:cs="Times New Roman"/>
        </w:rPr>
        <w:t xml:space="preserve">ed Mahalanobis Distance to identify the </w:t>
      </w:r>
      <w:r w:rsidR="007132F4">
        <w:rPr>
          <w:rFonts w:ascii="Times New Roman" w:eastAsiaTheme="minorEastAsia" w:hAnsi="Times New Roman" w:cs="Times New Roman" w:hint="eastAsia"/>
        </w:rPr>
        <w:t>near</w:t>
      </w:r>
      <w:r w:rsidR="007132F4" w:rsidRPr="007132F4">
        <w:rPr>
          <w:rFonts w:ascii="Times New Roman" w:hAnsi="Times New Roman" w:cs="Times New Roman"/>
        </w:rPr>
        <w:t>est match for each of our sample firms</w:t>
      </w:r>
      <w:r w:rsidRPr="008A52AD">
        <w:rPr>
          <w:rFonts w:ascii="Times New Roman" w:hAnsi="Times New Roman" w:cs="Times New Roman"/>
        </w:rPr>
        <w:t xml:space="preserve"> based on the pairing criteria of the same industry code and closest average </w:t>
      </w:r>
      <w:r w:rsidR="00CE2343">
        <w:rPr>
          <w:rFonts w:ascii="Times New Roman" w:eastAsiaTheme="minorEastAsia" w:hAnsi="Times New Roman" w:cs="Times New Roman" w:hint="eastAsia"/>
        </w:rPr>
        <w:t xml:space="preserve">natural logarithm of </w:t>
      </w:r>
      <w:r w:rsidRPr="008A52AD">
        <w:rPr>
          <w:rFonts w:ascii="Times New Roman" w:hAnsi="Times New Roman" w:cs="Times New Roman"/>
        </w:rPr>
        <w:t>total assets during sample periods from 2017 to 2022.</w:t>
      </w:r>
      <w:r w:rsidR="007132F4" w:rsidRPr="007132F4">
        <w:t xml:space="preserve"> </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flows delineated by </w:t>
      </w:r>
      <w:r w:rsidR="00995E02" w:rsidRPr="008A52AD">
        <w:rPr>
          <w:rFonts w:ascii="Times New Roman" w:hAnsi="Times New Roman" w:cs="Times New Roman"/>
          <w:color w:val="0070C0"/>
        </w:rPr>
        <w:t>Roychowdhury (2006)</w:t>
      </w:r>
      <w:r w:rsidR="00995E02" w:rsidRPr="008A52AD">
        <w:rPr>
          <w:rFonts w:ascii="Times New Roman" w:hAnsi="Times New Roman" w:cs="Times New Roman"/>
        </w:rPr>
        <w:t xml:space="preserve"> is featured by its ambiguous net effect and manipulation directions. As a results,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Zarowin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Empirical Models</w:t>
      </w:r>
    </w:p>
    <w:p w14:paraId="60887EF7" w14:textId="0DD1D525"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7777777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Cohen and Zarowin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28CDDF4C" w14:textId="77611123"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 xml:space="preserve">simultaneous equations aim to test for the within RPA implementers group: </w:t>
      </w:r>
    </w:p>
    <w:p w14:paraId="3BB36B5D" w14:textId="44F73D27"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6CB76B01" w:rsidR="001F2099"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115DFB" w14:textId="69BD15C9"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26079C3B"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0BC8DA04" w:rsidR="000919BC"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77777777"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3ADC30B1" w14:textId="77777777" w:rsidR="00FF0246" w:rsidRPr="008A52AD"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37CD1674"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ratio (MTB) to assess the financial structure, Operating Cash Flows (OCF) to evaluate the firm's liquidity impact on earnings management (EM), and firm size (</w:t>
      </w:r>
      <w:r w:rsidR="00AB6C0E">
        <w:rPr>
          <w:rFonts w:ascii="Times New Roman" w:eastAsiaTheme="minorEastAsia" w:hAnsi="Times New Roman" w:cs="Times New Roman" w:hint="eastAsia"/>
        </w:rPr>
        <w:t>SIZE</w:t>
      </w:r>
      <w:r w:rsidRPr="008A52AD">
        <w:rPr>
          <w:rFonts w:ascii="Times New Roman" w:hAnsi="Times New Roman" w:cs="Times New Roman"/>
        </w:rPr>
        <w:t xml:space="preserve">)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012543C8"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AB6C0E" w:rsidRPr="008A52AD">
        <w:rPr>
          <w:rFonts w:ascii="Times New Roman" w:hAnsi="Times New Roman" w:cs="Times New Roman"/>
          <w:color w:val="0070C0"/>
        </w:rPr>
        <w:t>)</w:t>
      </w:r>
      <w:r w:rsidR="00AB6C0E" w:rsidRPr="008A52AD">
        <w:rPr>
          <w:rFonts w:ascii="Times New Roman" w:hAnsi="Times New Roman" w:cs="Times New Roman"/>
        </w:rPr>
        <w:t>,</w:t>
      </w:r>
      <w:r w:rsidRPr="008A52AD">
        <w:rPr>
          <w:rFonts w:ascii="Times New Roman" w:hAnsi="Times New Roman" w:cs="Times New Roman"/>
        </w:rPr>
        <w:t xml:space="preserve">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Roychowdhury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Pr="008A52AD">
        <w:rPr>
          <w:rFonts w:ascii="Times New Roman" w:hAnsi="Times New Roman" w:cs="Times New Roman"/>
          <w:color w:val="0070C0"/>
        </w:rPr>
        <w:t>Chouaibi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9683B30"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winsorized at the top and bottom 1% of their distribution. The mean value of ABSDA is about 5%. </w:t>
      </w:r>
      <w:r w:rsidR="00491F4D" w:rsidRPr="008A52AD">
        <w:rPr>
          <w:rFonts w:ascii="Times New Roman" w:hAnsi="Times New Roman" w:cs="Times New Roman"/>
        </w:rPr>
        <w:lastRenderedPageBreak/>
        <w:t>The mean value of ABPROD, ABEXP, and RM are -0.00</w:t>
      </w:r>
      <w:r w:rsidR="00815074">
        <w:rPr>
          <w:rFonts w:ascii="Times New Roman" w:eastAsiaTheme="minorEastAsia" w:hAnsi="Times New Roman" w:cs="Times New Roman" w:hint="eastAsia"/>
        </w:rPr>
        <w:t>683</w:t>
      </w:r>
      <w:r w:rsidR="00491F4D" w:rsidRPr="008A52AD">
        <w:rPr>
          <w:rFonts w:ascii="Times New Roman" w:hAnsi="Times New Roman" w:cs="Times New Roman"/>
        </w:rPr>
        <w:t>, -0.000</w:t>
      </w:r>
      <w:r w:rsidR="00815074">
        <w:rPr>
          <w:rFonts w:ascii="Times New Roman" w:eastAsiaTheme="minorEastAsia" w:hAnsi="Times New Roman" w:cs="Times New Roman" w:hint="eastAsia"/>
        </w:rPr>
        <w:t>5</w:t>
      </w:r>
      <w:r w:rsidR="00491F4D" w:rsidRPr="008A52AD">
        <w:rPr>
          <w:rFonts w:ascii="Times New Roman" w:hAnsi="Times New Roman" w:cs="Times New Roman"/>
        </w:rPr>
        <w:t>3, and -0.0</w:t>
      </w:r>
      <w:r w:rsidR="00815074">
        <w:rPr>
          <w:rFonts w:ascii="Times New Roman" w:eastAsiaTheme="minorEastAsia" w:hAnsi="Times New Roman" w:cs="Times New Roman" w:hint="eastAsia"/>
        </w:rPr>
        <w:t>659</w:t>
      </w:r>
      <w:r w:rsidR="00491F4D" w:rsidRPr="008A52AD">
        <w:rPr>
          <w:rFonts w:ascii="Times New Roman" w:hAnsi="Times New Roman" w:cs="Times New Roman"/>
        </w:rPr>
        <w:t xml:space="preserve">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mean (4.04) and median (3.29)</w:t>
      </w:r>
      <w:r w:rsidR="007904B7" w:rsidRPr="008A52AD">
        <w:rPr>
          <w:rFonts w:ascii="Times New Roman" w:hAnsi="Times New Roman" w:cs="Times New Roman"/>
        </w:rPr>
        <w:t xml:space="preserve"> of ZSCORE </w:t>
      </w:r>
      <w:r w:rsidR="00815074">
        <w:rPr>
          <w:rFonts w:ascii="Times New Roman" w:eastAsiaTheme="minorEastAsia" w:hAnsi="Times New Roman" w:cs="Times New Roman" w:hint="eastAsia"/>
        </w:rPr>
        <w:t>are both</w:t>
      </w:r>
      <w:r w:rsidR="007904B7" w:rsidRPr="008A52AD">
        <w:rPr>
          <w:rFonts w:ascii="Times New Roman" w:hAnsi="Times New Roman" w:cs="Times New Roman"/>
        </w:rPr>
        <w:t xml:space="preserve"> larger than </w:t>
      </w:r>
      <w:r w:rsidR="00815074">
        <w:rPr>
          <w:rFonts w:ascii="Times New Roman" w:eastAsiaTheme="minorEastAsia" w:hAnsi="Times New Roman" w:cs="Times New Roman" w:hint="eastAsia"/>
        </w:rPr>
        <w:t>2</w:t>
      </w:r>
      <w:r w:rsidR="007904B7" w:rsidRPr="008A52AD">
        <w:rPr>
          <w:rFonts w:ascii="Times New Roman" w:hAnsi="Times New Roman" w:cs="Times New Roman"/>
        </w:rPr>
        <w:t>.</w:t>
      </w:r>
      <w:r w:rsidR="00815074">
        <w:rPr>
          <w:rFonts w:ascii="Times New Roman" w:eastAsiaTheme="minorEastAsia" w:hAnsi="Times New Roman" w:cs="Times New Roman" w:hint="eastAsia"/>
        </w:rPr>
        <w:t>99</w:t>
      </w:r>
      <w:r w:rsidR="007904B7" w:rsidRPr="008A52AD">
        <w:rPr>
          <w:rFonts w:ascii="Times New Roman" w:hAnsi="Times New Roman" w:cs="Times New Roman"/>
        </w:rPr>
        <w:t xml:space="preserve">, meaning that most of the observations </w:t>
      </w:r>
      <w:r w:rsidR="00815074" w:rsidRPr="008A52AD">
        <w:rPr>
          <w:rFonts w:ascii="Times New Roman" w:hAnsi="Times New Roman" w:cs="Times New Roman"/>
        </w:rPr>
        <w:t>are in</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safe</w:t>
      </w:r>
      <w:r w:rsidR="007904B7" w:rsidRPr="008A52AD">
        <w:rPr>
          <w:rFonts w:ascii="Times New Roman" w:hAnsi="Times New Roman" w:cs="Times New Roman"/>
        </w:rPr>
        <w:t xml:space="preserve"> zone for </w:t>
      </w:r>
      <w:r w:rsidR="00815074">
        <w:rPr>
          <w:rFonts w:ascii="Times New Roman" w:eastAsiaTheme="minorEastAsia" w:hAnsi="Times New Roman" w:cs="Times New Roman" w:hint="eastAsia"/>
        </w:rPr>
        <w:t>lower</w:t>
      </w:r>
      <w:r w:rsidR="007904B7" w:rsidRPr="008A52AD">
        <w:rPr>
          <w:rFonts w:ascii="Times New Roman" w:hAnsi="Times New Roman" w:cs="Times New Roman"/>
        </w:rPr>
        <w:t xml:space="preserve">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109D05FE"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Pr>
          <w:rFonts w:ascii="Times New Roman" w:eastAsiaTheme="minorEastAsia" w:hAnsi="Times New Roman" w:cs="Times New Roman" w:hint="eastAsia"/>
        </w:rPr>
        <w:t>1</w:t>
      </w:r>
      <w:r w:rsidRPr="008A52AD">
        <w:rPr>
          <w:rFonts w:ascii="Times New Roman" w:hAnsi="Times New Roman" w:cs="Times New Roman"/>
        </w:rPr>
        <w:t xml:space="preserve">%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w:t>
      </w:r>
      <w:r w:rsidR="00815074">
        <w:rPr>
          <w:rFonts w:ascii="Times New Roman" w:eastAsiaTheme="minorEastAsia" w:hAnsi="Times New Roman" w:cs="Times New Roman" w:hint="eastAsia"/>
        </w:rPr>
        <w:t>SIZE</w:t>
      </w:r>
      <w:r w:rsidR="005257E1" w:rsidRPr="008A52AD">
        <w:rPr>
          <w:rFonts w:ascii="Times New Roman" w:hAnsi="Times New Roman" w:cs="Times New Roman"/>
        </w:rPr>
        <w:t xml:space="preserve">), we can see that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4291</w:t>
      </w:r>
      <w:r w:rsidR="005257E1" w:rsidRPr="008A52AD">
        <w:rPr>
          <w:rFonts w:ascii="Times New Roman" w:hAnsi="Times New Roman" w:cs="Times New Roman"/>
        </w:rPr>
        <w:t xml:space="preserve">) </w:t>
      </w:r>
      <w:r w:rsidR="00FA1ED7" w:rsidRPr="008A52AD">
        <w:rPr>
          <w:rFonts w:ascii="Times New Roman" w:hAnsi="Times New Roman" w:cs="Times New Roman"/>
        </w:rPr>
        <w:lastRenderedPageBreak/>
        <w:t>For the EM proxies, t</w:t>
      </w:r>
      <w:r w:rsidR="00CC3C93" w:rsidRPr="008A52AD">
        <w:rPr>
          <w:rFonts w:ascii="Times New Roman" w:hAnsi="Times New Roman" w:cs="Times New Roman"/>
        </w:rPr>
        <w:t>here exists a significant gap</w:t>
      </w:r>
      <w:r w:rsidR="00637F53">
        <w:rPr>
          <w:rFonts w:ascii="Times New Roman" w:eastAsiaTheme="minorEastAsia" w:hAnsi="Times New Roman" w:cs="Times New Roman" w:hint="eastAsia"/>
        </w:rPr>
        <w:t xml:space="preserve"> (P&lt;0.01)</w:t>
      </w:r>
      <w:r w:rsidR="00CC3C93" w:rsidRPr="008A52AD">
        <w:rPr>
          <w:rFonts w:ascii="Times New Roman" w:hAnsi="Times New Roman" w:cs="Times New Roman"/>
        </w:rPr>
        <w:t xml:space="preserve">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8014</w:t>
      </w:r>
      <w:r w:rsidR="005257E1" w:rsidRPr="008A52AD">
        <w:rPr>
          <w:rFonts w:ascii="Times New Roman" w:hAnsi="Times New Roman" w:cs="Times New Roman"/>
        </w:rPr>
        <w:t>)</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5E5476">
        <w:rPr>
          <w:rFonts w:ascii="Times New Roman" w:hAnsi="Times New Roman" w:cs="Times New Roman"/>
          <w:sz w:val="24"/>
          <w:szCs w:val="24"/>
          <w:highlight w:val="yellow"/>
        </w:rPr>
        <w:t>Testing for endogeneity and 2SLS</w:t>
      </w:r>
    </w:p>
    <w:p w14:paraId="6A0C161F" w14:textId="788928A9"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w:t>
      </w:r>
      <w:r w:rsidR="00AB6C0E">
        <w:rPr>
          <w:rFonts w:ascii="Times New Roman" w:eastAsiaTheme="minorEastAsia" w:hAnsi="Times New Roman" w:cs="Times New Roman" w:hint="eastAsia"/>
        </w:rPr>
        <w:t xml:space="preserve">Table </w:t>
      </w:r>
      <w:r w:rsidR="00107B51">
        <w:rPr>
          <w:rFonts w:ascii="Times New Roman" w:eastAsiaTheme="minorEastAsia" w:hAnsi="Times New Roman" w:cs="Times New Roman" w:hint="eastAsia"/>
        </w:rPr>
        <w:t>6</w:t>
      </w:r>
      <w:r w:rsidR="00AB6C0E">
        <w:rPr>
          <w:rFonts w:ascii="Times New Roman" w:eastAsiaTheme="minorEastAsia" w:hAnsi="Times New Roman" w:cs="Times New Roman" w:hint="eastAsia"/>
        </w:rPr>
        <w:t xml:space="preserve"> and Table </w:t>
      </w:r>
      <w:r w:rsidR="00107B51">
        <w:rPr>
          <w:rFonts w:ascii="Times New Roman" w:eastAsiaTheme="minorEastAsia" w:hAnsi="Times New Roman" w:cs="Times New Roman" w:hint="eastAsia"/>
        </w:rPr>
        <w:t>7</w:t>
      </w:r>
      <w:r w:rsidR="00AB6C0E">
        <w:rPr>
          <w:rFonts w:ascii="Times New Roman" w:eastAsiaTheme="minorEastAsia" w:hAnsi="Times New Roman" w:cs="Times New Roman" w:hint="eastAsia"/>
        </w:rPr>
        <w:t xml:space="preserve"> shows the results of the endogeneity tests for all models. </w:t>
      </w:r>
      <w:r w:rsidR="00641311" w:rsidRPr="008A52AD">
        <w:rPr>
          <w:rFonts w:ascii="Times New Roman" w:hAnsi="Times New Roman" w:cs="Times New Roman"/>
        </w:rPr>
        <w:t xml:space="preserve">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4 Here]</w:t>
      </w:r>
    </w:p>
    <w:p w14:paraId="58187123" w14:textId="0DA60F59" w:rsidR="008C24E3" w:rsidRDefault="0026093E" w:rsidP="00AB6C0E">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lastRenderedPageBreak/>
        <w:t>[Insert Table 5 Here]</w:t>
      </w:r>
    </w:p>
    <w:p w14:paraId="22A40522" w14:textId="7BE5A183"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6</w:t>
      </w:r>
      <w:r w:rsidRPr="008A52AD">
        <w:rPr>
          <w:rFonts w:ascii="Times New Roman" w:hAnsi="Times New Roman" w:cs="Times New Roman"/>
          <w:i/>
          <w:iCs/>
        </w:rPr>
        <w:t xml:space="preserve"> Here]</w:t>
      </w:r>
    </w:p>
    <w:p w14:paraId="08177909" w14:textId="68730488"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8A52AD">
        <w:rPr>
          <w:rFonts w:ascii="Times New Roman" w:hAnsi="Times New Roman" w:cs="Times New Roman"/>
          <w:i/>
          <w:iCs/>
        </w:rPr>
        <w:t xml:space="preserve"> Here]</w:t>
      </w:r>
    </w:p>
    <w:p w14:paraId="1F688733" w14:textId="77777777" w:rsidR="000C6A11" w:rsidRPr="000C6A11" w:rsidRDefault="000C6A11" w:rsidP="00AB6C0E">
      <w:pPr>
        <w:pStyle w:val="31"/>
        <w:ind w:left="0" w:firstLine="425"/>
        <w:jc w:val="center"/>
        <w:rPr>
          <w:rFonts w:ascii="Times New Roman" w:eastAsiaTheme="minorEastAsia" w:hAnsi="Times New Roman" w:cs="Times New Roman" w:hint="eastAsia"/>
          <w:i/>
          <w:iCs/>
        </w:rPr>
      </w:pP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30159A92"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8</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w:t>
      </w:r>
      <w:r w:rsidR="005E5476">
        <w:rPr>
          <w:rFonts w:ascii="Times New Roman" w:eastAsiaTheme="minorEastAsia" w:hAnsi="Times New Roman" w:cs="Times New Roman" w:hint="eastAsia"/>
        </w:rPr>
        <w:t>5</w:t>
      </w:r>
      <w:r w:rsidRPr="008A52AD">
        <w:rPr>
          <w:rFonts w:ascii="Times New Roman" w:hAnsi="Times New Roman" w:cs="Times New Roman"/>
        </w:rPr>
        <w:t xml:space="preserve">%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AMhat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ABEXP, and RM models</w:t>
      </w:r>
      <w:r w:rsidR="000809E6" w:rsidRPr="008A52AD">
        <w:rPr>
          <w:rFonts w:ascii="Times New Roman" w:hAnsi="Times New Roman" w:cs="Times New Roman"/>
        </w:rPr>
        <w:t xml:space="preserve"> at </w:t>
      </w:r>
      <w:r w:rsidR="005E5476">
        <w:rPr>
          <w:rFonts w:ascii="Times New Roman" w:eastAsiaTheme="minorEastAsia" w:hAnsi="Times New Roman" w:cs="Times New Roman" w:hint="eastAsia"/>
        </w:rPr>
        <w:t>5</w:t>
      </w:r>
      <w:r w:rsidR="000809E6" w:rsidRPr="008A52AD">
        <w:rPr>
          <w:rFonts w:ascii="Times New Roman" w:hAnsi="Times New Roman" w:cs="Times New Roman"/>
        </w:rPr>
        <w:t xml:space="preserve">% </w:t>
      </w:r>
      <w:r w:rsidR="005E5476">
        <w:rPr>
          <w:rFonts w:ascii="Times New Roman" w:eastAsiaTheme="minorEastAsia" w:hAnsi="Times New Roman" w:cs="Times New Roman" w:hint="eastAsia"/>
        </w:rPr>
        <w:t xml:space="preserve">, 1%, and 1% </w:t>
      </w:r>
      <w:r w:rsidR="000809E6" w:rsidRPr="008A52AD">
        <w:rPr>
          <w:rFonts w:ascii="Times New Roman" w:hAnsi="Times New Roman" w:cs="Times New Roman"/>
        </w:rPr>
        <w:t>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4FC96AC5"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 xml:space="preserve">ABEXP, and RM equations (P&lt;0.1, </w:t>
      </w:r>
      <w:r w:rsidR="005E5476">
        <w:rPr>
          <w:rFonts w:ascii="Times New Roman" w:eastAsiaTheme="minorEastAsia" w:hAnsi="Times New Roman" w:cs="Times New Roman" w:hint="eastAsia"/>
        </w:rPr>
        <w:t>&lt;</w:t>
      </w:r>
      <w:r w:rsidR="00107B51">
        <w:rPr>
          <w:rFonts w:ascii="Times New Roman" w:eastAsiaTheme="minorEastAsia" w:hAnsi="Times New Roman" w:cs="Times New Roman"/>
        </w:rPr>
        <w:t>0.1,</w:t>
      </w:r>
      <w:r w:rsidR="00107B51" w:rsidRPr="008A52AD">
        <w:rPr>
          <w:rFonts w:ascii="Times New Roman" w:hAnsi="Times New Roman" w:cs="Times New Roman"/>
        </w:rPr>
        <w:t xml:space="preserve"> &lt;</w:t>
      </w:r>
      <w:r w:rsidRPr="008A52AD">
        <w:rPr>
          <w:rFonts w:ascii="Times New Roman" w:hAnsi="Times New Roman" w:cs="Times New Roman"/>
        </w:rPr>
        <w:t>0.01, and &lt;0.0</w:t>
      </w:r>
      <w:r w:rsidR="005E5476">
        <w:rPr>
          <w:rFonts w:ascii="Times New Roman" w:eastAsiaTheme="minorEastAsia" w:hAnsi="Times New Roman" w:cs="Times New Roman" w:hint="eastAsia"/>
        </w:rPr>
        <w:t>1</w:t>
      </w:r>
      <w:r w:rsidRPr="008A52AD">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Cohen and Zarowin 2010</w:t>
      </w:r>
      <w:r w:rsidRPr="008A52AD">
        <w:rPr>
          <w:rFonts w:ascii="Times New Roman" w:hAnsi="Times New Roman" w:cs="Times New Roman"/>
        </w:rPr>
        <w:t>).</w:t>
      </w:r>
    </w:p>
    <w:p w14:paraId="37164E55" w14:textId="50FC386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w:t>
      </w:r>
      <w:r w:rsidR="00272326">
        <w:rPr>
          <w:rFonts w:ascii="Times New Roman" w:eastAsiaTheme="minorEastAsia" w:hAnsi="Times New Roman" w:cs="Times New Roman" w:hint="eastAsia"/>
        </w:rPr>
        <w:t>SIZE</w:t>
      </w:r>
      <w:r w:rsidRPr="008A52AD">
        <w:rPr>
          <w:rFonts w:ascii="Times New Roman" w:hAnsi="Times New Roman" w:cs="Times New Roman"/>
        </w:rPr>
        <w:t xml:space="preserve"> at </w:t>
      </w:r>
      <w:r w:rsidR="003B4B47" w:rsidRPr="008A52AD">
        <w:rPr>
          <w:rFonts w:ascii="Times New Roman" w:hAnsi="Times New Roman" w:cs="Times New Roman"/>
        </w:rPr>
        <w:t>5</w:t>
      </w:r>
      <w:r w:rsidRPr="008A52AD">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Pr>
          <w:rFonts w:ascii="Times New Roman" w:eastAsiaTheme="minorEastAsia" w:hAnsi="Times New Roman" w:cs="Times New Roman" w:hint="eastAsia"/>
        </w:rPr>
        <w:t xml:space="preserve">MTB and </w:t>
      </w:r>
      <w:r w:rsidR="00055925" w:rsidRPr="008A52AD">
        <w:rPr>
          <w:rFonts w:ascii="Times New Roman" w:hAnsi="Times New Roman" w:cs="Times New Roman"/>
        </w:rPr>
        <w:t>CL</w:t>
      </w:r>
      <w:r w:rsidR="00055925">
        <w:rPr>
          <w:rFonts w:ascii="Times New Roman" w:eastAsiaTheme="minorEastAsia" w:hAnsi="Times New Roman" w:cs="Times New Roman"/>
        </w:rPr>
        <w:t>,</w:t>
      </w:r>
      <w:r w:rsidRPr="008A52AD">
        <w:rPr>
          <w:rFonts w:ascii="Times New Roman" w:hAnsi="Times New Roman" w:cs="Times New Roman"/>
        </w:rPr>
        <w:t xml:space="preserve"> significant at the </w:t>
      </w:r>
      <w:r w:rsidR="00272326">
        <w:rPr>
          <w:rFonts w:ascii="Times New Roman" w:eastAsiaTheme="minorEastAsia" w:hAnsi="Times New Roman" w:cs="Times New Roman" w:hint="eastAsia"/>
        </w:rPr>
        <w:t xml:space="preserve">1% and </w:t>
      </w:r>
      <w:r w:rsidRPr="008A52AD">
        <w:rPr>
          <w:rFonts w:ascii="Times New Roman" w:hAnsi="Times New Roman" w:cs="Times New Roman"/>
        </w:rPr>
        <w:t>10% level, suggests that firms with</w:t>
      </w:r>
      <w:r w:rsidR="00272326">
        <w:rPr>
          <w:rFonts w:ascii="Times New Roman" w:eastAsiaTheme="minorEastAsia" w:hAnsi="Times New Roman" w:cs="Times New Roman" w:hint="eastAsia"/>
        </w:rPr>
        <w:t xml:space="preserve"> higher market-to-book ratio or</w:t>
      </w:r>
      <w:r w:rsidRPr="008A52AD">
        <w:rPr>
          <w:rFonts w:ascii="Times New Roman" w:hAnsi="Times New Roman" w:cs="Times New Roman"/>
        </w:rPr>
        <w:t xml:space="preserve"> higher ratio of current liabilities to total assets are more likely to engage in AM.</w:t>
      </w:r>
    </w:p>
    <w:p w14:paraId="5528E989" w14:textId="7B48884F"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For the control variables in the RM proxy equations, firms with higher NOA</w:t>
      </w:r>
      <w:r w:rsidR="002564C8">
        <w:rPr>
          <w:rFonts w:ascii="Times New Roman" w:eastAsiaTheme="minorEastAsia" w:hAnsi="Times New Roman" w:cs="Times New Roman" w:hint="eastAsia"/>
        </w:rPr>
        <w:t xml:space="preserve"> and CL</w:t>
      </w:r>
      <w:r w:rsidRPr="008A52AD">
        <w:rPr>
          <w:rFonts w:ascii="Times New Roman" w:hAnsi="Times New Roman" w:cs="Times New Roman"/>
        </w:rPr>
        <w:t xml:space="preserve"> are generally more inclined to engage in RM, as shown by the positive significance of NOA</w:t>
      </w:r>
      <w:r w:rsidR="002564C8">
        <w:rPr>
          <w:rFonts w:ascii="Times New Roman" w:eastAsiaTheme="minorEastAsia" w:hAnsi="Times New Roman" w:cs="Times New Roman" w:hint="eastAsia"/>
        </w:rPr>
        <w:t xml:space="preserve"> (all P&lt;0.01)</w:t>
      </w:r>
      <w:r w:rsidRPr="008A52AD">
        <w:rPr>
          <w:rFonts w:ascii="Times New Roman" w:hAnsi="Times New Roman" w:cs="Times New Roman"/>
        </w:rPr>
        <w:t xml:space="preserve"> </w:t>
      </w:r>
      <w:r w:rsidR="002564C8">
        <w:rPr>
          <w:rFonts w:ascii="Times New Roman" w:eastAsiaTheme="minorEastAsia" w:hAnsi="Times New Roman" w:cs="Times New Roman" w:hint="eastAsia"/>
        </w:rPr>
        <w:t xml:space="preserve">and CL (P&lt;0.1, &lt;0.05, and &lt;0.01) </w:t>
      </w:r>
      <w:r w:rsidRPr="008A52AD">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Pr>
          <w:rFonts w:ascii="Times New Roman" w:eastAsiaTheme="minorEastAsia" w:hAnsi="Times New Roman" w:cs="Times New Roman" w:hint="eastAsia"/>
        </w:rPr>
        <w:t>all P&lt;0.01</w:t>
      </w:r>
      <w:r w:rsidRPr="008A52AD">
        <w:rPr>
          <w:rFonts w:ascii="Times New Roman" w:hAnsi="Times New Roman" w:cs="Times New Roman"/>
        </w:rPr>
        <w:t xml:space="preserve">), ADV (all P&lt;0.01), and </w:t>
      </w:r>
      <w:r w:rsidR="00055925">
        <w:rPr>
          <w:rFonts w:ascii="Times New Roman" w:eastAsiaTheme="minorEastAsia" w:hAnsi="Times New Roman" w:cs="Times New Roman" w:hint="eastAsia"/>
        </w:rPr>
        <w:t xml:space="preserve">SIZE </w:t>
      </w:r>
      <w:r w:rsidRPr="008A52AD">
        <w:rPr>
          <w:rFonts w:ascii="Times New Roman" w:hAnsi="Times New Roman" w:cs="Times New Roman"/>
        </w:rPr>
        <w:t>(P&lt;0.1,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5293775A"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8</w:t>
      </w:r>
      <w:r w:rsidRPr="008A52AD">
        <w:rPr>
          <w:rFonts w:ascii="Times New Roman" w:hAnsi="Times New Roman" w:cs="Times New Roman"/>
          <w:i/>
          <w:iCs/>
        </w:rPr>
        <w:t xml:space="preserve">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34612FD4"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9</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w:t>
      </w:r>
      <w:r w:rsidR="005154ED">
        <w:rPr>
          <w:rFonts w:ascii="Times New Roman" w:eastAsiaTheme="minorEastAsia" w:hAnsi="Times New Roman" w:cs="Times New Roman" w:hint="eastAsia"/>
        </w:rPr>
        <w:t>1</w:t>
      </w:r>
      <w:r w:rsidRPr="008A52AD">
        <w:rPr>
          <w:rFonts w:ascii="Times New Roman" w:hAnsi="Times New Roman" w:cs="Times New Roman"/>
        </w:rPr>
        <w:t xml:space="preserve">%,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20F562E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Pr>
          <w:rFonts w:ascii="Times New Roman" w:eastAsiaTheme="minorEastAsia" w:hAnsi="Times New Roman" w:cs="Times New Roman" w:hint="eastAsia"/>
        </w:rPr>
        <w:t>1</w:t>
      </w:r>
      <w:r w:rsidRPr="008A52AD">
        <w:rPr>
          <w:rFonts w:ascii="Times New Roman" w:hAnsi="Times New Roman" w:cs="Times New Roman"/>
        </w:rPr>
        <w:t xml:space="preserve"> and &lt;0.</w:t>
      </w:r>
      <w:r w:rsidR="00317C4F">
        <w:rPr>
          <w:rFonts w:ascii="Times New Roman" w:eastAsiaTheme="minorEastAsia" w:hAnsi="Times New Roman" w:cs="Times New Roman" w:hint="eastAsia"/>
        </w:rPr>
        <w:t>05</w:t>
      </w:r>
      <w:r w:rsidRPr="008A52AD">
        <w:rPr>
          <w:rFonts w:ascii="Times New Roman" w:hAnsi="Times New Roman" w:cs="Times New Roman"/>
        </w:rPr>
        <w:t xml:space="preserve">, 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 xml:space="preserve">Cohen and </w:t>
      </w:r>
      <w:r w:rsidRPr="008A52AD">
        <w:rPr>
          <w:rFonts w:ascii="Times New Roman" w:hAnsi="Times New Roman" w:cs="Times New Roman"/>
          <w:color w:val="0070C0"/>
        </w:rPr>
        <w:lastRenderedPageBreak/>
        <w:t>Zarowin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771961C1"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In the control variables of the AM equation, we find that firms with higher operating cash flows</w:t>
      </w:r>
      <w:r w:rsidR="00DC0D32">
        <w:rPr>
          <w:rFonts w:ascii="Times New Roman" w:eastAsiaTheme="minorEastAsia" w:hAnsi="Times New Roman" w:cs="Times New Roman" w:hint="eastAsia"/>
        </w:rPr>
        <w:t xml:space="preserve">, longer net operating cycle, </w:t>
      </w:r>
      <w:r w:rsidR="00DD755B">
        <w:rPr>
          <w:rFonts w:ascii="Times New Roman" w:eastAsiaTheme="minorEastAsia" w:hAnsi="Times New Roman" w:cs="Times New Roman" w:hint="eastAsia"/>
        </w:rPr>
        <w:t xml:space="preserve">higher Z-score, </w:t>
      </w:r>
      <w:r w:rsidRPr="008A52AD">
        <w:rPr>
          <w:rFonts w:ascii="Times New Roman" w:hAnsi="Times New Roman" w:cs="Times New Roman"/>
        </w:rPr>
        <w:t>and larger sizes are less likely to engage in AM, as shown by the negative significance of the OCF (P&lt;0.1)</w:t>
      </w:r>
      <w:r w:rsidR="00DC0D32">
        <w:rPr>
          <w:rFonts w:ascii="Times New Roman" w:eastAsiaTheme="minorEastAsia" w:hAnsi="Times New Roman" w:cs="Times New Roman" w:hint="eastAsia"/>
        </w:rPr>
        <w:t xml:space="preserve">, CYCLE(P&lt;0.05), </w:t>
      </w:r>
      <w:r w:rsidR="00DD755B">
        <w:rPr>
          <w:rFonts w:ascii="Times New Roman" w:eastAsiaTheme="minorEastAsia" w:hAnsi="Times New Roman" w:cs="Times New Roman" w:hint="eastAsia"/>
        </w:rPr>
        <w:t>ZSCORE(P&lt;0.01),</w:t>
      </w:r>
      <w:r w:rsidRPr="008A52AD">
        <w:rPr>
          <w:rFonts w:ascii="Times New Roman" w:hAnsi="Times New Roman" w:cs="Times New Roman"/>
        </w:rPr>
        <w:t xml:space="preserve">and </w:t>
      </w:r>
      <w:r w:rsidR="00DC0D32">
        <w:rPr>
          <w:rFonts w:ascii="Times New Roman" w:eastAsiaTheme="minorEastAsia" w:hAnsi="Times New Roman" w:cs="Times New Roman" w:hint="eastAsia"/>
        </w:rPr>
        <w:t>SIZE</w:t>
      </w:r>
      <w:r w:rsidRPr="008A52AD">
        <w:rPr>
          <w:rFonts w:ascii="Times New Roman" w:hAnsi="Times New Roman" w:cs="Times New Roman"/>
        </w:rPr>
        <w:t xml:space="preserve"> (P&lt;0.01) coefficients. Conversely, characteristics such as better performance </w:t>
      </w:r>
      <w:r w:rsidR="004C1548">
        <w:rPr>
          <w:rFonts w:ascii="Times New Roman" w:eastAsiaTheme="minorEastAsia" w:hAnsi="Times New Roman" w:cs="Times New Roman" w:hint="eastAsia"/>
        </w:rPr>
        <w:t>is</w:t>
      </w:r>
      <w:r w:rsidRPr="008A52AD">
        <w:rPr>
          <w:rFonts w:ascii="Times New Roman" w:hAnsi="Times New Roman" w:cs="Times New Roman"/>
        </w:rPr>
        <w:t xml:space="preserve"> associated with a greater propensity to engage in AM, as evidenced by the positive and significant coefficients of ADJROA (P&lt;0.</w:t>
      </w:r>
      <w:r w:rsidR="00E94D4F">
        <w:rPr>
          <w:rFonts w:ascii="Times New Roman" w:eastAsiaTheme="minorEastAsia" w:hAnsi="Times New Roman" w:cs="Times New Roman" w:hint="eastAsia"/>
        </w:rPr>
        <w:t>05</w:t>
      </w:r>
      <w:r w:rsidRPr="008A52AD">
        <w:rPr>
          <w:rFonts w:ascii="Times New Roman" w:hAnsi="Times New Roman" w:cs="Times New Roman"/>
        </w:rPr>
        <w:t>)</w:t>
      </w:r>
      <w:r w:rsidR="004C1548">
        <w:rPr>
          <w:rFonts w:ascii="Times New Roman" w:eastAsiaTheme="minorEastAsia" w:hAnsi="Times New Roman" w:cs="Times New Roman" w:hint="eastAsia"/>
        </w:rPr>
        <w:t xml:space="preserve"> </w:t>
      </w:r>
      <w:r w:rsidRPr="008A52AD">
        <w:rPr>
          <w:rFonts w:ascii="Times New Roman" w:hAnsi="Times New Roman" w:cs="Times New Roman"/>
        </w:rPr>
        <w:t>and the ADJROA</w:t>
      </w:r>
      <w:r w:rsidR="008B3A38" w:rsidRPr="008A52AD">
        <w:rPr>
          <w:rFonts w:ascii="Times New Roman" w:hAnsi="Times New Roman" w:cs="Times New Roman"/>
        </w:rPr>
        <w:t>_sq</w:t>
      </w:r>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63EBC729"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w:t>
      </w:r>
      <w:r w:rsidR="00DF3E82">
        <w:rPr>
          <w:rFonts w:ascii="Times New Roman" w:eastAsiaTheme="minorEastAsia" w:hAnsi="Times New Roman" w:cs="Times New Roman" w:hint="eastAsia"/>
        </w:rPr>
        <w:t xml:space="preserve">, higher net operating assets, </w:t>
      </w:r>
      <w:r w:rsidRPr="008A52AD">
        <w:rPr>
          <w:rFonts w:ascii="Times New Roman" w:hAnsi="Times New Roman" w:cs="Times New Roman"/>
        </w:rPr>
        <w:t>and more intensive advertising expenses are less likely to engage in RM activities, with the negative and significant coefficients of OCF</w:t>
      </w:r>
      <w:r w:rsidR="00DF3E82">
        <w:rPr>
          <w:rFonts w:ascii="Times New Roman" w:eastAsiaTheme="minorEastAsia" w:hAnsi="Times New Roman" w:cs="Times New Roman" w:hint="eastAsia"/>
        </w:rPr>
        <w:t xml:space="preserve"> (all P&lt;0.01), NOA (P&lt;0.05, &lt;0.01, and &lt;0.01), and ADV (all P&lt;0.01) in ABPROD, ABEXP, and RM equations respectively</w:t>
      </w:r>
      <w:r w:rsidRPr="008A52AD">
        <w:rPr>
          <w:rFonts w:ascii="Times New Roman" w:hAnsi="Times New Roman" w:cs="Times New Roman"/>
        </w:rPr>
        <w:t>.</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5BEE915C"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9</w:t>
      </w:r>
      <w:r w:rsidRPr="008A52AD">
        <w:rPr>
          <w:rFonts w:ascii="Times New Roman" w:hAnsi="Times New Roman" w:cs="Times New Roman"/>
          <w:i/>
          <w:iCs/>
        </w:rPr>
        <w:t xml:space="preserve">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 xml:space="preserve">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w:t>
      </w:r>
      <w:r w:rsidRPr="008A52AD">
        <w:rPr>
          <w:rFonts w:ascii="Times New Roman" w:hAnsi="Times New Roman" w:cs="Times New Roman"/>
        </w:rPr>
        <w:lastRenderedPageBreak/>
        <w:t>a significant gap in the existing literature.</w:t>
      </w:r>
    </w:p>
    <w:p w14:paraId="30D90232" w14:textId="77777777"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r w:rsidRPr="008A52AD">
        <w:rPr>
          <w:rFonts w:ascii="Times New Roman" w:hAnsi="Times New Roman" w:cs="Times New Roman"/>
          <w:color w:val="0070C0"/>
        </w:rPr>
        <w:t>Brazel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w:t>
      </w:r>
      <w:r w:rsidRPr="008A52AD">
        <w:rPr>
          <w:rFonts w:ascii="Times New Roman" w:hAnsi="Times New Roman" w:cs="Times New Roman"/>
        </w:rPr>
        <w:lastRenderedPageBreak/>
        <w:t>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8A52AD">
        <w:rPr>
          <w:rFonts w:ascii="Times New Roman" w:hAnsi="Times New Roman" w:cs="Times New Roman"/>
          <w:color w:val="0070C0"/>
        </w:rPr>
        <w:t>Brazel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Al-Jabri, I. M. and N. Roztocki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Cohen, D. A. and P. Zarowin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Healy, P. M. and J. M. Wahlen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Jędrzejka, D. (2019). "Robotic process automation and its impact on accounting." Zeszyty Teoretyczne Rachunkowości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 Clair, C., et al. (2017). "The forrester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Morris, J. J. and I. Laksmana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Poston, R. and S. Grabski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Zang, A. Y. (2011). "Evidence on the Trade-Off between Real Activities Manipulation and Accrual-Based Earnings Management." The Accounting Review 87(2): 675-703.</w:t>
      </w:r>
    </w:p>
    <w:sectPr w:rsidR="00573425" w:rsidRPr="008A52AD" w:rsidSect="009C3FA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DAA3" w14:textId="77777777" w:rsidR="009C3FA8" w:rsidRDefault="009C3FA8" w:rsidP="00FD3CBB">
      <w:r>
        <w:separator/>
      </w:r>
    </w:p>
  </w:endnote>
  <w:endnote w:type="continuationSeparator" w:id="0">
    <w:p w14:paraId="548F2B57" w14:textId="77777777" w:rsidR="009C3FA8" w:rsidRDefault="009C3FA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BCD5" w14:textId="77777777" w:rsidR="009C3FA8" w:rsidRDefault="009C3FA8" w:rsidP="00FD3CBB">
      <w:r>
        <w:separator/>
      </w:r>
    </w:p>
  </w:footnote>
  <w:footnote w:type="continuationSeparator" w:id="0">
    <w:p w14:paraId="5E8EF31B" w14:textId="77777777" w:rsidR="009C3FA8" w:rsidRDefault="009C3FA8"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293423">
    <w:abstractNumId w:val="0"/>
  </w:num>
  <w:num w:numId="2" w16cid:durableId="1093933356">
    <w:abstractNumId w:val="4"/>
  </w:num>
  <w:num w:numId="3" w16cid:durableId="2009215182">
    <w:abstractNumId w:val="3"/>
  </w:num>
  <w:num w:numId="4" w16cid:durableId="301540323">
    <w:abstractNumId w:val="2"/>
  </w:num>
  <w:num w:numId="5" w16cid:durableId="30693414">
    <w:abstractNumId w:val="6"/>
  </w:num>
  <w:num w:numId="6" w16cid:durableId="174542076">
    <w:abstractNumId w:val="5"/>
  </w:num>
  <w:num w:numId="7" w16cid:durableId="87169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55925"/>
    <w:rsid w:val="00063735"/>
    <w:rsid w:val="00064429"/>
    <w:rsid w:val="00071DE2"/>
    <w:rsid w:val="000727A7"/>
    <w:rsid w:val="000809E6"/>
    <w:rsid w:val="00086010"/>
    <w:rsid w:val="00090C6F"/>
    <w:rsid w:val="000919BC"/>
    <w:rsid w:val="00093301"/>
    <w:rsid w:val="00094EA1"/>
    <w:rsid w:val="000964FE"/>
    <w:rsid w:val="000978B6"/>
    <w:rsid w:val="000B0ACE"/>
    <w:rsid w:val="000B1131"/>
    <w:rsid w:val="000B162C"/>
    <w:rsid w:val="000B3D4A"/>
    <w:rsid w:val="000C10E9"/>
    <w:rsid w:val="000C1D7E"/>
    <w:rsid w:val="000C5F69"/>
    <w:rsid w:val="000C67B8"/>
    <w:rsid w:val="000C6A11"/>
    <w:rsid w:val="000D6168"/>
    <w:rsid w:val="000D64B0"/>
    <w:rsid w:val="000E1922"/>
    <w:rsid w:val="000E21C5"/>
    <w:rsid w:val="000E6681"/>
    <w:rsid w:val="000E6CC3"/>
    <w:rsid w:val="00107B51"/>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500D"/>
    <w:rsid w:val="0021158C"/>
    <w:rsid w:val="00212054"/>
    <w:rsid w:val="002271A6"/>
    <w:rsid w:val="00233A1E"/>
    <w:rsid w:val="0023589E"/>
    <w:rsid w:val="002564C8"/>
    <w:rsid w:val="0026093E"/>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C4F"/>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11E"/>
    <w:rsid w:val="0046630C"/>
    <w:rsid w:val="004713A0"/>
    <w:rsid w:val="00477BF2"/>
    <w:rsid w:val="00480612"/>
    <w:rsid w:val="00482738"/>
    <w:rsid w:val="00482B86"/>
    <w:rsid w:val="00486509"/>
    <w:rsid w:val="00491F4D"/>
    <w:rsid w:val="0049423E"/>
    <w:rsid w:val="00494445"/>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476"/>
    <w:rsid w:val="005E5EE2"/>
    <w:rsid w:val="005E7809"/>
    <w:rsid w:val="005E7A1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85B8C"/>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42B2"/>
    <w:rsid w:val="00812C65"/>
    <w:rsid w:val="00815074"/>
    <w:rsid w:val="008218AD"/>
    <w:rsid w:val="00833F74"/>
    <w:rsid w:val="00847120"/>
    <w:rsid w:val="0085226C"/>
    <w:rsid w:val="0087319F"/>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60602"/>
    <w:rsid w:val="009741CC"/>
    <w:rsid w:val="0097495A"/>
    <w:rsid w:val="00994D5C"/>
    <w:rsid w:val="00995E02"/>
    <w:rsid w:val="009A04A5"/>
    <w:rsid w:val="009A2810"/>
    <w:rsid w:val="009B09BF"/>
    <w:rsid w:val="009B6373"/>
    <w:rsid w:val="009C3FA8"/>
    <w:rsid w:val="009D4230"/>
    <w:rsid w:val="009D744F"/>
    <w:rsid w:val="009D7789"/>
    <w:rsid w:val="009E723D"/>
    <w:rsid w:val="009F381F"/>
    <w:rsid w:val="00A014C0"/>
    <w:rsid w:val="00A01EE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B6C0E"/>
    <w:rsid w:val="00AC2657"/>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A705C"/>
    <w:rsid w:val="00BC34F8"/>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E1409"/>
    <w:rsid w:val="00CE2343"/>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9525A"/>
    <w:rsid w:val="00DA427F"/>
    <w:rsid w:val="00DA64A2"/>
    <w:rsid w:val="00DA6EE2"/>
    <w:rsid w:val="00DA7D5E"/>
    <w:rsid w:val="00DB1004"/>
    <w:rsid w:val="00DB313F"/>
    <w:rsid w:val="00DC0D32"/>
    <w:rsid w:val="00DC2454"/>
    <w:rsid w:val="00DD755B"/>
    <w:rsid w:val="00DF04A6"/>
    <w:rsid w:val="00DF3E82"/>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94D4F"/>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9282</TotalTime>
  <Pages>26</Pages>
  <Words>7554</Words>
  <Characters>43058</Characters>
  <Application>Microsoft Office Word</Application>
  <DocSecurity>0</DocSecurity>
  <Lines>358</Lines>
  <Paragraphs>101</Paragraphs>
  <ScaleCrop>false</ScaleCrop>
  <Company/>
  <LinksUpToDate>false</LinksUpToDate>
  <CharactersWithSpaces>50511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284</cp:revision>
  <dcterms:created xsi:type="dcterms:W3CDTF">2024-02-06T12:28:00Z</dcterms:created>
  <dcterms:modified xsi:type="dcterms:W3CDTF">2024-03-17T06:05:00Z</dcterms:modified>
</cp:coreProperties>
</file>