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w:t>
      </w:r>
      <w:proofErr w:type="gramStart"/>
      <w:r>
        <w:rPr>
          <w:rFonts w:ascii="Times New Roman" w:eastAsia="標楷體-繁" w:hAnsi="Times New Roman" w:cs="Times New Roman" w:hint="eastAsia"/>
          <w:color w:val="000000" w:themeColor="text1"/>
          <w:sz w:val="36"/>
          <w:szCs w:val="36"/>
        </w:rPr>
        <w:t>昇</w:t>
      </w:r>
      <w:proofErr w:type="gramEnd"/>
      <w:r>
        <w:rPr>
          <w:rFonts w:ascii="Times New Roman" w:eastAsia="標楷體-繁" w:hAnsi="Times New Roman" w:cs="Times New Roman" w:hint="eastAsia"/>
          <w:color w:val="000000" w:themeColor="text1"/>
          <w:sz w:val="36"/>
          <w:szCs w:val="36"/>
        </w:rPr>
        <w:t>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proofErr w:type="gramStart"/>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w:t>
      </w:r>
      <w:proofErr w:type="gramEnd"/>
      <w:r w:rsidRPr="00811056">
        <w:rPr>
          <w:rFonts w:ascii="Times New Roman" w:eastAsia="標楷體-繁" w:hAnsi="Times New Roman" w:cs="Times New Roman"/>
        </w:rPr>
        <w:t>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w:t>
      </w:r>
      <w:proofErr w:type="gramStart"/>
      <w:r w:rsidRPr="00811056">
        <w:rPr>
          <w:rFonts w:ascii="Times New Roman" w:eastAsia="標楷體-繁" w:hAnsi="Times New Roman" w:cs="Times New Roman"/>
        </w:rPr>
        <w:t>攸</w:t>
      </w:r>
      <w:proofErr w:type="gramEnd"/>
      <w:r w:rsidRPr="00811056">
        <w:rPr>
          <w:rFonts w:ascii="Times New Roman" w:eastAsia="標楷體-繁" w:hAnsi="Times New Roman" w:cs="Times New Roman"/>
        </w:rPr>
        <w:t>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3BC747CA"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513C9F8A" w14:textId="1398E3F3"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9" w:name="_Toc167290612"/>
      <w:r w:rsidRPr="00BA4329">
        <w:rPr>
          <w:rStyle w:val="10"/>
          <w:rFonts w:ascii="Times New Roman" w:hAnsi="Times New Roman" w:cs="Times New Roman"/>
          <w:b/>
          <w:bCs/>
          <w:sz w:val="24"/>
          <w:szCs w:val="24"/>
        </w:rPr>
        <w:lastRenderedPageBreak/>
        <w:t>INTRODUCTION</w:t>
      </w:r>
      <w:bookmarkEnd w:id="7"/>
      <w:bookmarkEnd w:id="8"/>
      <w:bookmarkEnd w:id="9"/>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0" w:name="_Toc167211842"/>
      <w:bookmarkStart w:id="11"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2" w:name="_Toc167290613"/>
      <w:r w:rsidRPr="00BA4329">
        <w:rPr>
          <w:rFonts w:ascii="Times New Roman" w:hAnsi="Times New Roman" w:cs="Times New Roman"/>
          <w:sz w:val="24"/>
          <w:szCs w:val="24"/>
        </w:rPr>
        <w:lastRenderedPageBreak/>
        <w:t>LITERATURE REVIEW &amp; HYPOTHESIS DEVELOPMENT</w:t>
      </w:r>
      <w:bookmarkEnd w:id="10"/>
      <w:bookmarkEnd w:id="11"/>
      <w:bookmarkEnd w:id="12"/>
    </w:p>
    <w:p w14:paraId="28EB02D3" w14:textId="34E23CE2" w:rsidR="00B634B4" w:rsidRPr="000803A6" w:rsidRDefault="006438F5" w:rsidP="006B7A5F">
      <w:pPr>
        <w:pStyle w:val="2"/>
        <w:spacing w:line="480" w:lineRule="auto"/>
      </w:pPr>
      <w:bookmarkStart w:id="13" w:name="_Toc167211843"/>
      <w:bookmarkStart w:id="14" w:name="_Toc167214480"/>
      <w:bookmarkStart w:id="15"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3"/>
      <w:bookmarkEnd w:id="14"/>
      <w:bookmarkEnd w:id="15"/>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6" w:name="_Toc167211844"/>
      <w:bookmarkStart w:id="17" w:name="_Toc167214481"/>
      <w:bookmarkStart w:id="18"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6"/>
      <w:bookmarkEnd w:id="17"/>
      <w:bookmarkEnd w:id="18"/>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19" w:name="_Toc167211845"/>
      <w:bookmarkStart w:id="20" w:name="_Toc167214482"/>
      <w:bookmarkStart w:id="21"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9"/>
      <w:bookmarkEnd w:id="20"/>
      <w:bookmarkEnd w:id="21"/>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2" w:name="_Toc167211846"/>
      <w:bookmarkStart w:id="23" w:name="_Toc167214483"/>
      <w:bookmarkStart w:id="24"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2"/>
      <w:bookmarkEnd w:id="23"/>
      <w:bookmarkEnd w:id="24"/>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66503C3A"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s essential to factor in the regulatory context, including established internal control frameworks like COSO and COBIT, when extrapolating the impact of ERP implementation on AM to assess how adopting</w:t>
      </w:r>
      <w:r w:rsidRPr="00C6611E">
        <w:rPr>
          <w:rFonts w:ascii="Times New Roman" w:eastAsiaTheme="minorEastAsia" w:hAnsi="Times New Roman" w:cs="Times New Roman"/>
          <w:color w:val="FF0000"/>
        </w:rPr>
        <w:t xml:space="preserve"> R</w:t>
      </w:r>
      <w:r w:rsidR="00C6611E" w:rsidRPr="00C6611E">
        <w:rPr>
          <w:rFonts w:ascii="Times New Roman" w:eastAsiaTheme="minorEastAsia" w:hAnsi="Times New Roman" w:cs="Times New Roman" w:hint="eastAsia"/>
          <w:color w:val="FF0000"/>
        </w:rPr>
        <w:t>PA</w:t>
      </w:r>
      <w:r w:rsidRPr="00C6611E">
        <w:rPr>
          <w:rFonts w:ascii="Times New Roman" w:eastAsiaTheme="minorEastAsia" w:hAnsi="Times New Roman" w:cs="Times New Roman"/>
          <w:color w:val="FF0000"/>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5" w:name="_Toc167211847"/>
      <w:bookmarkStart w:id="26" w:name="_Toc167214484"/>
      <w:bookmarkStart w:id="27"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5"/>
      <w:bookmarkEnd w:id="26"/>
      <w:bookmarkEnd w:id="27"/>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8" w:name="_Toc167211848"/>
      <w:bookmarkStart w:id="29"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0" w:name="_Toc167290619"/>
      <w:r w:rsidRPr="00BA4329">
        <w:rPr>
          <w:rFonts w:ascii="Times New Roman" w:hAnsi="Times New Roman" w:cs="Times New Roman"/>
          <w:sz w:val="24"/>
          <w:szCs w:val="24"/>
        </w:rPr>
        <w:lastRenderedPageBreak/>
        <w:t>SAMPLE SELECTION &amp; RESEARCH DESIGN</w:t>
      </w:r>
      <w:bookmarkEnd w:id="28"/>
      <w:bookmarkEnd w:id="29"/>
      <w:bookmarkEnd w:id="30"/>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1" w:name="_Toc167211849"/>
      <w:bookmarkStart w:id="32" w:name="_Toc167214486"/>
      <w:bookmarkStart w:id="33"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1"/>
      <w:bookmarkEnd w:id="32"/>
      <w:bookmarkEnd w:id="33"/>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4" w:name="_Toc167211850"/>
      <w:bookmarkStart w:id="35" w:name="_Toc167214487"/>
      <w:bookmarkStart w:id="36" w:name="_Toc167290621"/>
      <w:r w:rsidRPr="00BA4329">
        <w:rPr>
          <w:rFonts w:ascii="Times New Roman" w:hAnsi="Times New Roman" w:cs="Times New Roman"/>
          <w:sz w:val="24"/>
          <w:szCs w:val="24"/>
        </w:rPr>
        <w:t>Sample</w:t>
      </w:r>
      <w:bookmarkEnd w:id="34"/>
      <w:bookmarkEnd w:id="35"/>
      <w:bookmarkEnd w:id="36"/>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7" w:name="_Toc167211851"/>
      <w:bookmarkStart w:id="38" w:name="_Toc167214488"/>
      <w:bookmarkStart w:id="39" w:name="_Toc167290622"/>
      <w:r w:rsidRPr="003025E8">
        <w:rPr>
          <w:rFonts w:ascii="Times New Roman" w:hAnsi="Times New Roman" w:cs="Times New Roman"/>
          <w:sz w:val="24"/>
          <w:szCs w:val="24"/>
        </w:rPr>
        <w:t>Proxies for Accrual-based Earnings Management &amp; Real Activities Manipulation</w:t>
      </w:r>
      <w:bookmarkEnd w:id="37"/>
      <w:bookmarkEnd w:id="38"/>
      <w:bookmarkEnd w:id="39"/>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0" w:name="_Toc167211852"/>
      <w:bookmarkStart w:id="41" w:name="_Toc167214489"/>
      <w:bookmarkStart w:id="42" w:name="_Toc167290623"/>
      <w:r w:rsidRPr="00BA4329">
        <w:rPr>
          <w:rFonts w:ascii="Times New Roman" w:hAnsi="Times New Roman" w:cs="Times New Roman"/>
          <w:sz w:val="24"/>
          <w:szCs w:val="24"/>
        </w:rPr>
        <w:t>Empirical Models</w:t>
      </w:r>
      <w:bookmarkEnd w:id="40"/>
      <w:bookmarkEnd w:id="41"/>
      <w:bookmarkEnd w:id="42"/>
    </w:p>
    <w:p w14:paraId="60887EF7" w14:textId="2C73B56C"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w:t>
      </w:r>
      <w:r w:rsidRPr="00BA4329">
        <w:rPr>
          <w:rFonts w:ascii="Times New Roman" w:hAnsi="Times New Roman" w:cs="Times New Roman"/>
        </w:rPr>
        <w:lastRenderedPageBreak/>
        <w:t>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xml:space="preserve">). Through this comprehensive set of </w:t>
      </w:r>
      <w:r w:rsidRPr="00BA4329">
        <w:rPr>
          <w:rFonts w:ascii="Times New Roman" w:hAnsi="Times New Roman" w:cs="Times New Roman"/>
        </w:rPr>
        <w:lastRenderedPageBreak/>
        <w:t>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3" w:name="_Toc167211853"/>
      <w:bookmarkStart w:id="44"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5" w:name="_Toc167290624"/>
      <w:r w:rsidRPr="00BA4329">
        <w:rPr>
          <w:rFonts w:ascii="Times New Roman" w:hAnsi="Times New Roman" w:cs="Times New Roman"/>
          <w:sz w:val="24"/>
          <w:szCs w:val="24"/>
        </w:rPr>
        <w:lastRenderedPageBreak/>
        <w:t>RESULTS</w:t>
      </w:r>
      <w:bookmarkEnd w:id="43"/>
      <w:bookmarkEnd w:id="44"/>
      <w:bookmarkEnd w:id="45"/>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6" w:name="_Toc167211854"/>
      <w:bookmarkStart w:id="47" w:name="_Toc167214491"/>
      <w:bookmarkStart w:id="48"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6"/>
      <w:bookmarkEnd w:id="47"/>
      <w:bookmarkEnd w:id="48"/>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49" w:name="_Toc167211855"/>
      <w:bookmarkStart w:id="50" w:name="_Toc167214492"/>
      <w:bookmarkStart w:id="51"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49"/>
      <w:bookmarkEnd w:id="50"/>
      <w:bookmarkEnd w:id="51"/>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2" w:name="_Toc167211856"/>
      <w:bookmarkStart w:id="53" w:name="_Toc167214493"/>
      <w:bookmarkStart w:id="54"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2"/>
      <w:bookmarkEnd w:id="53"/>
      <w:bookmarkEnd w:id="54"/>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5" w:name="_Toc167211857"/>
      <w:bookmarkStart w:id="56" w:name="_Toc167214494"/>
      <w:bookmarkStart w:id="57"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5"/>
      <w:bookmarkEnd w:id="56"/>
      <w:bookmarkEnd w:id="57"/>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8"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59" w:name="_Toc167214495"/>
      <w:bookmarkStart w:id="60" w:name="_Toc167290629"/>
      <w:r w:rsidRPr="000F080C">
        <w:rPr>
          <w:rFonts w:ascii="Times New Roman" w:hAnsi="Times New Roman" w:cs="Times New Roman"/>
          <w:sz w:val="24"/>
          <w:szCs w:val="24"/>
        </w:rPr>
        <w:t>Additional Analysis: Alternative Measure for AM Proxy</w:t>
      </w:r>
      <w:bookmarkEnd w:id="59"/>
      <w:bookmarkEnd w:id="60"/>
    </w:p>
    <w:bookmarkEnd w:id="58"/>
    <w:p w14:paraId="6E459CF8" w14:textId="01B17587" w:rsidR="00C72513" w:rsidRDefault="003530F7" w:rsidP="006B7A5F">
      <w:pPr>
        <w:spacing w:line="48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1"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61"/>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2" w:name="_Toc167211859"/>
      <w:bookmarkStart w:id="63"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4" w:name="_Toc167290630"/>
      <w:r w:rsidRPr="00BA4329">
        <w:rPr>
          <w:rFonts w:ascii="Times New Roman" w:hAnsi="Times New Roman" w:cs="Times New Roman"/>
          <w:sz w:val="24"/>
          <w:szCs w:val="24"/>
        </w:rPr>
        <w:lastRenderedPageBreak/>
        <w:t>CONCLUSIONS</w:t>
      </w:r>
      <w:bookmarkEnd w:id="62"/>
      <w:bookmarkEnd w:id="63"/>
      <w:bookmarkEnd w:id="64"/>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4E8BE511" w14:textId="0D470774" w:rsidR="00EB72E4" w:rsidRPr="009E4D7E" w:rsidRDefault="00EB72E4">
      <w:pPr>
        <w:widowControl/>
        <w:rPr>
          <w:rFonts w:ascii="Times New Roman" w:hAnsi="Times New Roman" w:cs="Times New Roman"/>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5" w:name="_Toc167211861"/>
      <w:bookmarkStart w:id="66" w:name="_Toc167214498"/>
      <w:bookmarkStart w:id="67" w:name="_Toc167289968"/>
      <w:r w:rsidRPr="002C24C2">
        <w:rPr>
          <w:rFonts w:ascii="Times New Roman" w:hAnsi="Times New Roman" w:cs="Times New Roman"/>
          <w:b/>
          <w:bCs/>
          <w:color w:val="000000" w:themeColor="text1"/>
          <w:sz w:val="24"/>
          <w:szCs w:val="24"/>
        </w:rPr>
        <w:lastRenderedPageBreak/>
        <w:t>Table 1 Sample Firms Descriptions</w:t>
      </w:r>
      <w:bookmarkEnd w:id="65"/>
      <w:bookmarkEnd w:id="66"/>
      <w:bookmarkEnd w:id="67"/>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68" w:name="_Toc167211862"/>
      <w:bookmarkStart w:id="69"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0"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68"/>
      <w:bookmarkEnd w:id="69"/>
      <w:bookmarkEnd w:id="70"/>
    </w:p>
    <w:p w14:paraId="5D9C563E" w14:textId="4DFBA8B7" w:rsidR="001F06D2" w:rsidRPr="002B77A9" w:rsidRDefault="001F06D2" w:rsidP="009372E2">
      <w:pPr>
        <w:jc w:val="both"/>
        <w:rPr>
          <w:rFonts w:ascii="Times New Roman" w:hAnsi="Times New Roman" w:cs="Times New Roman"/>
          <w:b/>
          <w:bCs/>
        </w:rPr>
      </w:pPr>
      <w:bookmarkStart w:id="71" w:name="_Toc167211863"/>
      <w:bookmarkStart w:id="72"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1"/>
      <w:bookmarkEnd w:id="72"/>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3" w:name="_Toc167211864"/>
      <w:bookmarkStart w:id="74" w:name="_Toc167214501"/>
      <w:bookmarkStart w:id="75"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3"/>
      <w:bookmarkEnd w:id="7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76" w:name="_Toc167211865"/>
      <w:bookmarkStart w:id="77" w:name="_Toc167214502"/>
      <w:bookmarkStart w:id="78" w:name="_Toc167289970"/>
      <w:bookmarkEnd w:id="75"/>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76"/>
      <w:bookmarkEnd w:id="77"/>
      <w:bookmarkEnd w:id="78"/>
    </w:p>
    <w:p w14:paraId="2786B773" w14:textId="2F3412C1" w:rsidR="001F06D2" w:rsidRPr="002B77A9" w:rsidRDefault="001F06D2" w:rsidP="009372E2">
      <w:pPr>
        <w:jc w:val="both"/>
        <w:rPr>
          <w:rFonts w:ascii="Times New Roman" w:hAnsi="Times New Roman" w:cs="Times New Roman"/>
          <w:b/>
          <w:bCs/>
        </w:rPr>
      </w:pPr>
      <w:bookmarkStart w:id="79" w:name="_Toc167211866"/>
      <w:bookmarkStart w:id="80"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79"/>
      <w:bookmarkEnd w:id="80"/>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1" w:name="_Toc167211867"/>
      <w:bookmarkStart w:id="82"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1"/>
      <w:bookmarkEnd w:id="82"/>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3" w:name="_Toc167211868"/>
      <w:bookmarkStart w:id="84"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5" w:name="_Toc167211869"/>
      <w:bookmarkStart w:id="86" w:name="_Toc167214506"/>
      <w:bookmarkStart w:id="87" w:name="_Toc167289971"/>
      <w:bookmarkStart w:id="88" w:name="_GoBack"/>
      <w:bookmarkEnd w:id="88"/>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5"/>
      <w:bookmarkEnd w:id="86"/>
      <w:bookmarkEnd w:id="8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89" w:name="_Toc167211870"/>
      <w:bookmarkStart w:id="90" w:name="_Toc167214507"/>
      <w:bookmarkStart w:id="91" w:name="_Toc167289972"/>
      <w:bookmarkStart w:id="92"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89"/>
      <w:bookmarkEnd w:id="90"/>
      <w:bookmarkEnd w:id="91"/>
    </w:p>
    <w:bookmarkEnd w:id="92"/>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3" w:name="_Toc167211871"/>
      <w:bookmarkStart w:id="94" w:name="_Toc167214508"/>
      <w:bookmarkStart w:id="95"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3"/>
      <w:bookmarkEnd w:id="94"/>
      <w:bookmarkEnd w:id="9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2ECAC962" w14:textId="77777777" w:rsidR="003C3083" w:rsidRDefault="003C3083" w:rsidP="003C3083">
            <w:pPr>
              <w:widowControl/>
              <w:rPr>
                <w:rFonts w:ascii="Times New Roman" w:eastAsia="新細明體" w:hAnsi="Times New Roman" w:cs="Times New Roman"/>
                <w:kern w:val="0"/>
                <w:sz w:val="20"/>
                <w:szCs w:val="20"/>
              </w:rPr>
            </w:pPr>
          </w:p>
          <w:p w14:paraId="73FA8344" w14:textId="77777777" w:rsidR="00F7092B" w:rsidRDefault="00F7092B" w:rsidP="003C3083">
            <w:pPr>
              <w:widowControl/>
              <w:rPr>
                <w:rFonts w:ascii="Times New Roman" w:eastAsia="新細明體" w:hAnsi="Times New Roman" w:cs="Times New Roman"/>
                <w:kern w:val="0"/>
                <w:sz w:val="20"/>
                <w:szCs w:val="20"/>
              </w:rPr>
            </w:pPr>
          </w:p>
          <w:p w14:paraId="1FBCE824" w14:textId="77777777" w:rsidR="00F7092B" w:rsidRDefault="00F7092B" w:rsidP="003C3083">
            <w:pPr>
              <w:widowControl/>
              <w:rPr>
                <w:rFonts w:ascii="Times New Roman" w:eastAsia="新細明體" w:hAnsi="Times New Roman" w:cs="Times New Roman"/>
                <w:kern w:val="0"/>
                <w:sz w:val="20"/>
                <w:szCs w:val="20"/>
              </w:rPr>
            </w:pPr>
          </w:p>
          <w:p w14:paraId="1DF85591" w14:textId="77777777" w:rsidR="00F7092B" w:rsidRDefault="00F7092B" w:rsidP="003C3083">
            <w:pPr>
              <w:widowControl/>
              <w:rPr>
                <w:rFonts w:ascii="Times New Roman" w:eastAsia="新細明體" w:hAnsi="Times New Roman" w:cs="Times New Roman"/>
                <w:kern w:val="0"/>
                <w:sz w:val="20"/>
                <w:szCs w:val="20"/>
              </w:rPr>
            </w:pPr>
          </w:p>
          <w:p w14:paraId="5E988656" w14:textId="77777777" w:rsidR="00F7092B" w:rsidRDefault="00F7092B" w:rsidP="003C3083">
            <w:pPr>
              <w:widowControl/>
              <w:rPr>
                <w:rFonts w:ascii="Times New Roman" w:eastAsia="新細明體" w:hAnsi="Times New Roman" w:cs="Times New Roman"/>
                <w:kern w:val="0"/>
                <w:sz w:val="20"/>
                <w:szCs w:val="20"/>
              </w:rPr>
            </w:pPr>
          </w:p>
          <w:p w14:paraId="21DBC2A5" w14:textId="77777777" w:rsidR="00F7092B" w:rsidRDefault="00F7092B" w:rsidP="003C3083">
            <w:pPr>
              <w:widowControl/>
              <w:rPr>
                <w:rFonts w:ascii="Times New Roman" w:eastAsia="新細明體" w:hAnsi="Times New Roman" w:cs="Times New Roman"/>
                <w:kern w:val="0"/>
                <w:sz w:val="20"/>
                <w:szCs w:val="20"/>
              </w:rPr>
            </w:pPr>
          </w:p>
          <w:p w14:paraId="1B7459D5" w14:textId="77777777" w:rsidR="00F7092B" w:rsidRDefault="00F7092B" w:rsidP="003C3083">
            <w:pPr>
              <w:widowControl/>
              <w:rPr>
                <w:rFonts w:ascii="Times New Roman" w:eastAsia="新細明體" w:hAnsi="Times New Roman" w:cs="Times New Roman"/>
                <w:kern w:val="0"/>
                <w:sz w:val="20"/>
                <w:szCs w:val="20"/>
              </w:rPr>
            </w:pPr>
          </w:p>
          <w:p w14:paraId="78CE3D39" w14:textId="77777777" w:rsidR="00F7092B" w:rsidRDefault="00F7092B" w:rsidP="003C3083">
            <w:pPr>
              <w:widowControl/>
              <w:rPr>
                <w:rFonts w:ascii="Times New Roman" w:eastAsia="新細明體" w:hAnsi="Times New Roman" w:cs="Times New Roman"/>
                <w:kern w:val="0"/>
                <w:sz w:val="20"/>
                <w:szCs w:val="20"/>
              </w:rPr>
            </w:pPr>
          </w:p>
          <w:p w14:paraId="42311D84" w14:textId="77777777" w:rsidR="00F7092B" w:rsidRDefault="00F7092B" w:rsidP="003C3083">
            <w:pPr>
              <w:widowControl/>
              <w:rPr>
                <w:rFonts w:ascii="Times New Roman" w:eastAsia="新細明體" w:hAnsi="Times New Roman" w:cs="Times New Roman"/>
                <w:kern w:val="0"/>
                <w:sz w:val="20"/>
                <w:szCs w:val="20"/>
              </w:rPr>
            </w:pPr>
          </w:p>
          <w:p w14:paraId="2B23E816" w14:textId="77777777" w:rsidR="00F7092B" w:rsidRDefault="00F7092B" w:rsidP="003C3083">
            <w:pPr>
              <w:widowControl/>
              <w:rPr>
                <w:rFonts w:ascii="Times New Roman" w:eastAsia="新細明體" w:hAnsi="Times New Roman" w:cs="Times New Roman"/>
                <w:kern w:val="0"/>
                <w:sz w:val="20"/>
                <w:szCs w:val="20"/>
              </w:rPr>
            </w:pPr>
          </w:p>
          <w:p w14:paraId="4A558BDA" w14:textId="77777777" w:rsidR="00F7092B" w:rsidRDefault="00F7092B"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6" w:name="_Toc167211872"/>
      <w:bookmarkStart w:id="97" w:name="_Toc167214509"/>
      <w:bookmarkStart w:id="98"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212066E5" w14:textId="77777777" w:rsidR="009C3B26" w:rsidRPr="00954102" w:rsidRDefault="009C3B26" w:rsidP="00954102"/>
    <w:sectPr w:rsidR="009C3B26" w:rsidRPr="00954102"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0567" w14:textId="77777777" w:rsidR="00F16BFC" w:rsidRDefault="00F16BFC" w:rsidP="00FD3CBB">
      <w:r>
        <w:separator/>
      </w:r>
    </w:p>
  </w:endnote>
  <w:endnote w:type="continuationSeparator" w:id="0">
    <w:p w14:paraId="626E5651" w14:textId="77777777" w:rsidR="00F16BFC" w:rsidRDefault="00F16BFC"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384906276"/>
      <w:docPartObj>
        <w:docPartGallery w:val="Page Numbers (Bottom of Page)"/>
        <w:docPartUnique/>
      </w:docPartObj>
    </w:sdtPr>
    <w:sdtEndPr>
      <w:rPr>
        <w:rStyle w:val="aff6"/>
      </w:rPr>
    </w:sdtEnd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406837291"/>
      <w:docPartObj>
        <w:docPartGallery w:val="Page Numbers (Bottom of Page)"/>
        <w:docPartUnique/>
      </w:docPartObj>
    </w:sdtPr>
    <w:sdtEndPr>
      <w:rPr>
        <w:rStyle w:val="aff6"/>
      </w:rPr>
    </w:sdtEnd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802270638"/>
      <w:docPartObj>
        <w:docPartGallery w:val="Page Numbers (Bottom of Page)"/>
        <w:docPartUnique/>
      </w:docPartObj>
    </w:sdtPr>
    <w:sdtEndPr>
      <w:rPr>
        <w:rStyle w:val="aff6"/>
      </w:rPr>
    </w:sdtEnd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463C5" w14:textId="77777777" w:rsidR="00F16BFC" w:rsidRDefault="00F16BFC" w:rsidP="00FD3CBB">
      <w:r>
        <w:separator/>
      </w:r>
    </w:p>
  </w:footnote>
  <w:footnote w:type="continuationSeparator" w:id="0">
    <w:p w14:paraId="01EFEC09" w14:textId="77777777" w:rsidR="00F16BFC" w:rsidRDefault="00F16BFC"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4E2CE989" w:rsidR="00A4579F" w:rsidRPr="00A4579F" w:rsidRDefault="00A4579F">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00156B24" w:rsidRPr="00156B24">
        <w:rPr>
          <w:rFonts w:ascii="Times New Roman" w:hAnsi="Times New Roman" w:cs="Times New Roman"/>
        </w:rPr>
        <w:t>The total earnings management includes both types of manipulation and their disturbance terms (Hamza 2019). From Zang's (2012) study, we know that the choice between AM and RM depends on their relative costs; higher costs in one type of earnings management lead to increased use of the other. Thus, both types of manipulation are part of a joint decision to manage earnings, with AM being endogenously related to RM.</w:t>
      </w:r>
    </w:p>
  </w:footnote>
  <w:footnote w:id="9">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2E61"/>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4D7E"/>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BC6"/>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1196"/>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11E"/>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46F5B"/>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16BFC"/>
    <w:rsid w:val="00F20C8D"/>
    <w:rsid w:val="00F20E32"/>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F9684-3D89-4162-89DC-8FF8DC77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62</Pages>
  <Words>10884</Words>
  <Characters>62039</Characters>
  <Application>Microsoft Office Word</Application>
  <DocSecurity>0</DocSecurity>
  <Lines>516</Lines>
  <Paragraphs>145</Paragraphs>
  <ScaleCrop>false</ScaleCrop>
  <Company/>
  <LinksUpToDate>false</LinksUpToDate>
  <CharactersWithSpaces>72778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107</cp:revision>
  <dcterms:created xsi:type="dcterms:W3CDTF">2024-05-18T06:15:00Z</dcterms:created>
  <dcterms:modified xsi:type="dcterms:W3CDTF">2024-06-04T09:13:00Z</dcterms:modified>
</cp:coreProperties>
</file>