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F210A3"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F210A3"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 xml:space="preserve">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significant </w:t>
      </w:r>
      <w:r w:rsidRPr="006F02A4">
        <w:rPr>
          <w:rFonts w:ascii="Times New Roman" w:eastAsia="標楷體" w:hAnsi="Times New Roman" w:cs="Times New Roman"/>
          <w:color w:val="FF0000"/>
          <w:szCs w:val="22"/>
        </w:rPr>
        <w:t>rise in</w:t>
      </w:r>
      <w:r w:rsidR="004E432F" w:rsidRPr="006F02A4">
        <w:rPr>
          <w:rFonts w:ascii="Times New Roman" w:eastAsia="標楷體" w:hAnsi="Times New Roman" w:cs="Times New Roman" w:hint="eastAsia"/>
          <w:color w:val="FF0000"/>
          <w:szCs w:val="22"/>
        </w:rPr>
        <w:t xml:space="preserve"> both</w:t>
      </w:r>
      <w:r w:rsidRPr="006F02A4">
        <w:rPr>
          <w:rFonts w:ascii="Times New Roman" w:eastAsia="標楷體" w:hAnsi="Times New Roman" w:cs="Times New Roman"/>
          <w:color w:val="FF0000"/>
          <w:szCs w:val="22"/>
        </w:rPr>
        <w:t xml:space="preserve"> accrual-based </w:t>
      </w:r>
      <w:r w:rsidR="004E432F" w:rsidRPr="006F02A4">
        <w:rPr>
          <w:rFonts w:ascii="Times New Roman" w:eastAsia="標楷體" w:hAnsi="Times New Roman" w:cs="Times New Roman" w:hint="eastAsia"/>
          <w:color w:val="FF0000"/>
          <w:szCs w:val="22"/>
        </w:rPr>
        <w:t xml:space="preserve">and real </w:t>
      </w:r>
      <w:r w:rsidR="004E432F" w:rsidRPr="006F02A4">
        <w:rPr>
          <w:rFonts w:ascii="Times New Roman" w:eastAsia="標楷體" w:hAnsi="Times New Roman" w:cs="Times New Roman"/>
          <w:color w:val="FF0000"/>
          <w:szCs w:val="22"/>
        </w:rPr>
        <w:t>activities</w:t>
      </w:r>
      <w:r w:rsidR="004E432F" w:rsidRPr="006F02A4">
        <w:rPr>
          <w:rFonts w:ascii="Times New Roman" w:eastAsia="標楷體" w:hAnsi="Times New Roman" w:cs="Times New Roman" w:hint="eastAsia"/>
          <w:color w:val="FF0000"/>
          <w:szCs w:val="22"/>
        </w:rPr>
        <w:t xml:space="preserve"> </w:t>
      </w:r>
      <w:r w:rsidRPr="00DC7C44">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w:t>
      </w:r>
      <w:r w:rsidR="00972EAE" w:rsidRPr="002312E1">
        <w:rPr>
          <w:rFonts w:ascii="Times New Roman" w:hAnsi="Times New Roman" w:cs="Times New Roman" w:hint="eastAsia"/>
          <w:color w:val="FF0000"/>
        </w:rPr>
        <w:t xml:space="preserve">and remaining </w:t>
      </w:r>
      <w:r w:rsidR="00972EAE" w:rsidRPr="002312E1">
        <w:rPr>
          <w:rFonts w:ascii="Times New Roman" w:hAnsi="Times New Roman" w:cs="Times New Roman"/>
          <w:color w:val="FF0000"/>
        </w:rPr>
        <w:t>exogenous (control) variables</w:t>
      </w:r>
      <w:r w:rsidR="0049424F">
        <w:rPr>
          <w:rFonts w:ascii="Times New Roman" w:eastAsiaTheme="minorEastAsia" w:hAnsi="Times New Roman" w:cs="Times New Roman" w:hint="eastAsia"/>
          <w:color w:val="FF0000"/>
        </w:rPr>
        <w:t xml:space="preserve"> in AM (RM) equation respectively</w:t>
      </w:r>
      <w:r w:rsidR="00972EAE">
        <w:rPr>
          <w:rFonts w:ascii="新細明體" w:eastAsia="新細明體" w:hAnsi="新細明體" w:cs="新細明體" w:hint="eastAsia"/>
        </w:rPr>
        <w:t xml:space="preserve"> </w:t>
      </w:r>
      <w:r w:rsidRPr="00BA4329">
        <w:rPr>
          <w:rFonts w:ascii="Times New Roman" w:hAnsi="Times New Roman" w:cs="Times New Roman"/>
        </w:rPr>
        <w:t>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p w14:paraId="71179DE9" w14:textId="5732EFFF" w:rsidR="00E74442" w:rsidRPr="000F080C" w:rsidRDefault="00A7776F" w:rsidP="000F080C">
      <w:pPr>
        <w:spacing w:line="360" w:lineRule="auto"/>
        <w:rPr>
          <w:rFonts w:ascii="Times New Roman" w:hAnsi="Times New Roman" w:cs="Times New Roman"/>
        </w:rPr>
      </w:pPr>
      <w:r w:rsidRPr="000F080C">
        <w:rPr>
          <w:rFonts w:ascii="Times New Roman" w:hAnsi="Times New Roman" w:cs="Times New Roman"/>
        </w:rPr>
        <w:t xml:space="preserve">    </w:t>
      </w:r>
      <w:r w:rsidR="00B6094C"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w:t>
      </w:r>
      <w:r w:rsidR="009E33D5" w:rsidRPr="000F080C">
        <w:rPr>
          <w:rFonts w:ascii="Times New Roman" w:hAnsi="Times New Roman" w:cs="Times New Roman"/>
        </w:rPr>
        <w:t>DD</w:t>
      </w:r>
      <w:r w:rsidR="00B6094C" w:rsidRPr="000F080C">
        <w:rPr>
          <w:rFonts w:ascii="Times New Roman" w:hAnsi="Times New Roman" w:cs="Times New Roman"/>
        </w:rPr>
        <w:t xml:space="preserve"> model. The </w:t>
      </w:r>
      <w:r w:rsidR="009E33D5" w:rsidRPr="000F080C">
        <w:rPr>
          <w:rFonts w:ascii="Times New Roman" w:hAnsi="Times New Roman" w:cs="Times New Roman"/>
        </w:rPr>
        <w:t>standard deviation of</w:t>
      </w:r>
      <w:r w:rsidR="00B6094C" w:rsidRPr="000F080C">
        <w:rPr>
          <w:rFonts w:ascii="Times New Roman" w:hAnsi="Times New Roman" w:cs="Times New Roman"/>
        </w:rPr>
        <w:t xml:space="preserve"> these residuals serves as</w:t>
      </w:r>
      <w:r w:rsidR="009E33D5" w:rsidRPr="000F080C">
        <w:rPr>
          <w:rFonts w:ascii="Times New Roman" w:hAnsi="Times New Roman" w:cs="Times New Roman"/>
        </w:rPr>
        <w:t xml:space="preserve"> a</w:t>
      </w:r>
      <w:r w:rsidR="00B6094C" w:rsidRPr="000F080C">
        <w:rPr>
          <w:rFonts w:ascii="Times New Roman" w:hAnsi="Times New Roman" w:cs="Times New Roman"/>
        </w:rPr>
        <w:t xml:space="preserve"> </w:t>
      </w:r>
      <w:r w:rsidR="009E33D5" w:rsidRPr="000F080C">
        <w:rPr>
          <w:rFonts w:ascii="Times New Roman" w:hAnsi="Times New Roman" w:cs="Times New Roman"/>
        </w:rPr>
        <w:t>proxy for</w:t>
      </w:r>
      <w:r w:rsidR="00B6094C" w:rsidRPr="000F080C">
        <w:rPr>
          <w:rFonts w:ascii="Times New Roman" w:hAnsi="Times New Roman" w:cs="Times New Roman"/>
        </w:rPr>
        <w:t xml:space="preserve"> AQ. Essentially, a higher variability in residuals indicates </w:t>
      </w:r>
      <w:r w:rsidR="009E33D5" w:rsidRPr="000F080C">
        <w:rPr>
          <w:rFonts w:ascii="Times New Roman" w:hAnsi="Times New Roman" w:cs="Times New Roman"/>
        </w:rPr>
        <w:t>poor</w:t>
      </w:r>
      <w:r w:rsidR="00B6094C" w:rsidRPr="000F080C">
        <w:rPr>
          <w:rFonts w:ascii="Times New Roman" w:hAnsi="Times New Roman" w:cs="Times New Roman"/>
        </w:rPr>
        <w:t xml:space="preserve">er </w:t>
      </w:r>
      <w:r w:rsidR="009E33D5" w:rsidRPr="000F080C">
        <w:rPr>
          <w:rFonts w:ascii="Times New Roman" w:hAnsi="Times New Roman" w:cs="Times New Roman"/>
        </w:rPr>
        <w:t>AQ</w:t>
      </w:r>
      <w:r w:rsidR="00B6094C" w:rsidRPr="000F080C">
        <w:rPr>
          <w:rFonts w:ascii="Times New Roman" w:hAnsi="Times New Roman" w:cs="Times New Roman"/>
        </w:rPr>
        <w:t>.</w:t>
      </w:r>
      <w:r w:rsidR="009E33D5" w:rsidRPr="000F080C">
        <w:rPr>
          <w:rFonts w:ascii="Times New Roman" w:hAnsi="Times New Roman" w:cs="Times New Roman"/>
        </w:rPr>
        <w:t xml:space="preserve"> </w:t>
      </w:r>
      <w:r w:rsidR="00CC5D75" w:rsidRPr="000F080C">
        <w:rPr>
          <w:rFonts w:ascii="Times New Roman" w:hAnsi="Times New Roman" w:cs="Times New Roman"/>
        </w:rPr>
        <w:t xml:space="preserve">McNichols (2002) extends the DD model by including growth in revenue to better capture performance indicators, and by adding property, plant, and equipment (PPE) to the equation. We adopt this modified DD model </w:t>
      </w:r>
      <w:r w:rsidR="009C67CF" w:rsidRPr="000F080C">
        <w:rPr>
          <w:rFonts w:ascii="Times New Roman" w:hAnsi="Times New Roman" w:cs="Times New Roman"/>
        </w:rPr>
        <w:t xml:space="preserve">(MDD model) </w:t>
      </w:r>
      <w:r w:rsidR="00CC5D75" w:rsidRPr="000F080C">
        <w:rPr>
          <w:rFonts w:ascii="Times New Roman" w:hAnsi="Times New Roman" w:cs="Times New Roman"/>
        </w:rPr>
        <w:t xml:space="preserve">to calculate AQ proxy following below equation: </w:t>
      </w:r>
      <w:r w:rsidR="00CC5D75" w:rsidRPr="000F080C">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CC5D75" w:rsidRPr="000F080C">
        <w:rPr>
          <w:rFonts w:ascii="Times New Roman" w:hAnsi="Times New Roman" w:cs="Times New Roman"/>
          <w:i/>
          <w:iCs/>
        </w:rPr>
        <w:t xml:space="preserve"> </w:t>
      </w:r>
      <w:r w:rsidR="008D2E70" w:rsidRPr="000F080C">
        <w:rPr>
          <w:rFonts w:ascii="Times New Roman" w:hAnsi="Times New Roman" w:cs="Times New Roman"/>
        </w:rPr>
        <w:b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8D2E70"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8D2E70"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8D2E70"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8D2E70"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8D2E70" w:rsidRPr="000F080C">
        <w:rPr>
          <w:rFonts w:ascii="Times New Roman" w:hAnsi="Times New Roman" w:cs="Times New Roman"/>
        </w:rPr>
        <w:t xml:space="preserve"> represent operating cash flow of firm j in year t-1, t, t+1 respectively</w:t>
      </w:r>
      <w:r w:rsidR="009C67CF"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C67CF"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C67CF"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C67CF"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C67CF" w:rsidRPr="000F080C">
        <w:rPr>
          <w:rFonts w:ascii="Times New Roman" w:hAnsi="Times New Roman" w:cs="Times New Roman"/>
          <w:i/>
          <w:iCs/>
        </w:rPr>
        <w:t>,</w:t>
      </w:r>
      <w:r w:rsidR="009C67CF"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C67CF"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C67CF" w:rsidRPr="000F080C">
        <w:rPr>
          <w:rFonts w:ascii="Times New Roman" w:hAnsi="Times New Roman" w:cs="Times New Roman"/>
        </w:rPr>
        <w:t xml:space="preserve"> represent current assets, current liabilities, cash and cash equivalents and short-term debts for firm j in year t respectively.</w:t>
      </w:r>
      <w:r w:rsidR="006E4987" w:rsidRPr="000F080C">
        <w:rPr>
          <w:rFonts w:ascii="Times New Roman" w:hAnsi="Times New Roman" w:cs="Times New Roman"/>
        </w:rPr>
        <w:t xml:space="preserve"> All continuous variables are scaled by average total assets </w:t>
      </w:r>
      <w:r w:rsidR="00895792" w:rsidRPr="000F080C">
        <w:rPr>
          <w:rFonts w:ascii="Times New Roman" w:hAnsi="Times New Roman" w:cs="Times New Roman"/>
        </w:rPr>
        <w:t>from year t-1 to year t.</w:t>
      </w:r>
      <w:r w:rsidR="009C67CF" w:rsidRPr="000F080C">
        <w:rPr>
          <w:rFonts w:ascii="Times New Roman" w:hAnsi="Times New Roman" w:cs="Times New Roman"/>
        </w:rPr>
        <w:br/>
        <w:t xml:space="preserve">    We follow prior literature (e.g. Francis et al. 2005; Gray et al. 2009) to estimate MDD model cross-sectionally for each industry </w:t>
      </w:r>
      <w:r w:rsidR="00CC5242" w:rsidRPr="000F080C">
        <w:rPr>
          <w:rFonts w:ascii="Times New Roman" w:hAnsi="Times New Roman" w:cs="Times New Roman"/>
        </w:rPr>
        <w:t>by</w:t>
      </w:r>
      <w:r w:rsidR="009C67CF" w:rsidRPr="000F080C">
        <w:rPr>
          <w:rFonts w:ascii="Times New Roman" w:hAnsi="Times New Roman" w:cs="Times New Roman"/>
        </w:rPr>
        <w:t xml:space="preserve"> TSE industry code with at least</w:t>
      </w:r>
      <w:r w:rsidR="00E045E9" w:rsidRPr="000F080C">
        <w:rPr>
          <w:rFonts w:ascii="Times New Roman" w:hAnsi="Times New Roman" w:cs="Times New Roman"/>
        </w:rPr>
        <w:t xml:space="preserve"> </w:t>
      </w:r>
      <w:r w:rsidR="00861A8A" w:rsidRPr="000F080C">
        <w:rPr>
          <w:rFonts w:ascii="Times New Roman" w:hAnsi="Times New Roman" w:cs="Times New Roman"/>
        </w:rPr>
        <w:t>15</w:t>
      </w:r>
      <w:r w:rsidR="009C67CF" w:rsidRPr="000F080C">
        <w:rPr>
          <w:rFonts w:ascii="Times New Roman" w:hAnsi="Times New Roman" w:cs="Times New Roman"/>
        </w:rPr>
        <w:t xml:space="preserve"> firms in year t.</w:t>
      </w:r>
      <w:r w:rsidR="00710DD1" w:rsidRPr="000F080C">
        <w:rPr>
          <w:rFonts w:ascii="Times New Roman" w:hAnsi="Times New Roman" w:cs="Times New Roman"/>
        </w:rPr>
        <w:t xml:space="preserve">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r>
          <w:rPr>
            <w:rFonts w:ascii="Cambria Math" w:hAnsi="Cambria Math" w:cs="Times New Roman"/>
          </w:rPr>
          <m:t>)</m:t>
        </m:r>
      </m:oMath>
      <w:r w:rsidR="00710DD1" w:rsidRPr="000F080C">
        <w:rPr>
          <w:rFonts w:ascii="Times New Roman" w:hAnsi="Times New Roman" w:cs="Times New Roman"/>
        </w:rPr>
        <w:t xml:space="preserve"> hereafter is calculated as the standard deviation of the residuals for firm j from the MDD model over year t-4 through year t. </w:t>
      </w:r>
      <w:r w:rsidR="00710DD1" w:rsidRPr="000F080C">
        <w:rPr>
          <w:rFonts w:ascii="Times New Roman" w:hAnsi="Times New Roman" w:cs="Times New Roman"/>
        </w:rPr>
        <w:br/>
      </w:r>
      <w:r w:rsidR="00710DD1" w:rsidRPr="000F080C">
        <w:rPr>
          <w:rFonts w:ascii="Times New Roman" w:hAnsi="Times New Roman" w:cs="Times New Roman"/>
        </w:rPr>
        <w:lastRenderedPageBreak/>
        <w:t xml:space="preserve">    </w:t>
      </w:r>
      <w:r w:rsidR="00966CD2" w:rsidRPr="000F080C">
        <w:rPr>
          <w:rFonts w:ascii="Times New Roman" w:hAnsi="Times New Roman" w:cs="Times New Roman"/>
        </w:rPr>
        <w:t xml:space="preserve">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r w:rsidR="00946C31" w:rsidRPr="000F080C">
        <w:rPr>
          <w:rFonts w:ascii="Times New Roman" w:hAnsi="Times New Roman" w:cs="Times New Roman"/>
        </w:rPr>
        <w:t xml:space="preserve">To distinguish two components of </w:t>
      </w:r>
      <w:r w:rsidR="00E36C4A" w:rsidRPr="000F080C">
        <w:rPr>
          <w:rFonts w:ascii="Times New Roman" w:hAnsi="Times New Roman" w:cs="Times New Roman"/>
        </w:rPr>
        <w:t>AQ, we follow Francis et al. (2015)</w:t>
      </w:r>
      <w:r w:rsidR="006F03E6" w:rsidRPr="000F080C">
        <w:rPr>
          <w:rFonts w:ascii="Times New Roman" w:hAnsi="Times New Roman" w:cs="Times New Roman"/>
        </w:rPr>
        <w:t xml:space="preserve"> via using five innate factors influencing AQ</w:t>
      </w:r>
      <w:r w:rsidR="00E36C4A" w:rsidRPr="000F080C">
        <w:rPr>
          <w:rFonts w:ascii="Times New Roman" w:hAnsi="Times New Roman" w:cs="Times New Roman"/>
        </w:rPr>
        <w:t xml:space="preserve"> to run the annual equations</w:t>
      </w:r>
      <w:r w:rsidR="00492F66" w:rsidRPr="000F080C">
        <w:rPr>
          <w:rFonts w:ascii="Times New Roman" w:hAnsi="Times New Roman" w:cs="Times New Roman"/>
        </w:rPr>
        <w:t xml:space="preserve"> below</w:t>
      </w:r>
      <w:r w:rsidR="00E36C4A" w:rsidRPr="000F080C">
        <w:rPr>
          <w:rFonts w:ascii="Times New Roman" w:hAnsi="Times New Roman" w:cs="Times New Roman"/>
        </w:rPr>
        <w:t>:</w:t>
      </w:r>
      <w:bookmarkEnd w:id="40"/>
      <w:r w:rsidR="00E36C4A" w:rsidRPr="000F080C">
        <w:rPr>
          <w:rFonts w:ascii="Times New Roman" w:hAnsi="Times New Roman" w:cs="Times New Roman"/>
        </w:rPr>
        <w:t xml:space="preserve"> </w:t>
      </w:r>
    </w:p>
    <w:p w14:paraId="36956675" w14:textId="5693BAFA" w:rsidR="00E36C4A" w:rsidRPr="000F080C" w:rsidRDefault="00F210A3" w:rsidP="000F080C">
      <w:pPr>
        <w:spacing w:line="360" w:lineRule="auto"/>
        <w:rPr>
          <w:rFonts w:ascii="Times New Roman" w:hAnsi="Times New Roman" w:cs="Times New Roman"/>
        </w:rPr>
      </w:pP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824A65"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D47DB5" w:rsidRPr="000F080C">
        <w:rPr>
          <w:rFonts w:ascii="Times New Roman" w:hAnsi="Times New Roman" w:cs="Times New Roman"/>
          <w:i/>
          <w:iCs/>
        </w:rPr>
        <w:t xml:space="preserve"> </w:t>
      </w:r>
      <w:r w:rsidR="00D47DB5"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D47DB5"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D47DB5" w:rsidRPr="000F080C">
        <w:rPr>
          <w:rFonts w:ascii="Times New Roman" w:hAnsi="Times New Roman" w:cs="Times New Roman"/>
        </w:rPr>
        <w:t xml:space="preserve"> is calculated as natural logarithm of sum of days accounts receivable and days inventory plus 1</w:t>
      </w:r>
      <w:r w:rsidR="00741F6C" w:rsidRPr="000F080C">
        <w:rPr>
          <w:rFonts w:ascii="Times New Roman" w:hAnsi="Times New Roman" w:cs="Times New Roman"/>
        </w:rPr>
        <w:t xml:space="preserve">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741F6C" w:rsidRPr="000F080C">
        <w:rPr>
          <w:rFonts w:ascii="Times New Roman" w:hAnsi="Times New Roman" w:cs="Times New Roman"/>
        </w:rPr>
        <w:t xml:space="preserve"> represents the number of years over past five years, where firm j reported negative income from continuing operation</w:t>
      </w:r>
      <w:r w:rsidR="00492F66" w:rsidRPr="000F080C">
        <w:rPr>
          <w:rFonts w:ascii="Times New Roman" w:hAnsi="Times New Roman" w:cs="Times New Roman"/>
        </w:rPr>
        <w:t xml:space="preserve"> at the end of year t.</w:t>
      </w:r>
      <w:r w:rsidR="00741F6C"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492F66"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492F66" w:rsidRPr="000F080C">
        <w:rPr>
          <w:rFonts w:ascii="Times New Roman" w:hAnsi="Times New Roman" w:cs="Times New Roman"/>
          <w:i/>
          <w:iCs/>
        </w:rPr>
        <w:t xml:space="preserve"> </w:t>
      </w:r>
      <w:r w:rsidR="00492F66" w:rsidRPr="000F080C">
        <w:rPr>
          <w:rFonts w:ascii="Times New Roman" w:hAnsi="Times New Roman" w:cs="Times New Roman"/>
        </w:rPr>
        <w:t xml:space="preserve">is the residual value </w:t>
      </w:r>
      <w:r w:rsidR="00997461" w:rsidRPr="000F080C">
        <w:rPr>
          <w:rFonts w:ascii="Times New Roman" w:hAnsi="Times New Roman" w:cs="Times New Roman"/>
        </w:rPr>
        <w:t>from the above equation, representing the estimate of the discretionary component of firm j’s AQ.</w:t>
      </w:r>
      <w:r w:rsidR="009B3DE4" w:rsidRPr="000F080C">
        <w:rPr>
          <w:rFonts w:ascii="Times New Roman" w:hAnsi="Times New Roman" w:cs="Times New Roman"/>
        </w:rPr>
        <w:t xml:space="preserve"> </w:t>
      </w:r>
      <w:r w:rsidR="00135D62" w:rsidRPr="000F080C">
        <w:rPr>
          <w:rFonts w:ascii="Times New Roman" w:hAnsi="Times New Roman" w:cs="Times New Roman"/>
        </w:rPr>
        <w:br/>
      </w:r>
      <w:r w:rsidR="00AD1761" w:rsidRPr="000F080C">
        <w:rPr>
          <w:rFonts w:ascii="Times New Roman" w:hAnsi="Times New Roman" w:cs="Times New Roman"/>
        </w:rPr>
        <w:t xml:space="preserve">  To calculate DAQ, an alternative proxy for accrual earnings management, a firm must have comprehensive financial data spanning from 2012 to 2023. This data is necessary to fulfill the firm-year observation periods for DAQ from 2017 to 2022. Due to incomplete data, four pairs of firms were excluded from the analysis of 172 sample firms</w:t>
      </w:r>
      <w:r w:rsidR="004C3F21" w:rsidRPr="000F080C">
        <w:rPr>
          <w:rFonts w:ascii="Times New Roman" w:hAnsi="Times New Roman" w:cs="Times New Roman"/>
        </w:rPr>
        <w:t>, ending up with 82 treatment firms and 82 control firms</w:t>
      </w:r>
      <w:r w:rsidR="00AD1761" w:rsidRPr="000F080C">
        <w:rPr>
          <w:rFonts w:ascii="Times New Roman" w:hAnsi="Times New Roman" w:cs="Times New Roman"/>
        </w:rPr>
        <w:t>.</w:t>
      </w:r>
      <w:r w:rsidR="00BB571E" w:rsidRPr="000F080C">
        <w:rPr>
          <w:rFonts w:ascii="Times New Roman" w:hAnsi="Times New Roman" w:cs="Times New Roman"/>
        </w:rPr>
        <w:t xml:space="preserve"> </w:t>
      </w:r>
      <w:r w:rsidR="00BB571E" w:rsidRPr="000F080C">
        <w:rPr>
          <w:rFonts w:ascii="Times New Roman" w:hAnsi="Times New Roman" w:cs="Times New Roman"/>
        </w:rPr>
        <w:br/>
        <w:t xml:space="preserve">   </w:t>
      </w:r>
      <w:r w:rsidR="003E43C5" w:rsidRPr="000F080C">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w:t>
      </w:r>
      <w:r w:rsidR="003E43C5" w:rsidRPr="000F080C">
        <w:rPr>
          <w:rFonts w:ascii="Times New Roman" w:hAnsi="Times New Roman" w:cs="Times New Roman"/>
        </w:rPr>
        <w:lastRenderedPageBreak/>
        <w:t>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Table 5.</w:t>
      </w:r>
      <w:r w:rsidR="00CE749A" w:rsidRPr="000F080C">
        <w:rPr>
          <w:rFonts w:ascii="Times New Roman" w:hAnsi="Times New Roman" w:cs="Times New Roman"/>
        </w:rPr>
        <w:t xml:space="preserve"> </w:t>
      </w:r>
      <w:r w:rsidR="00EE24FD" w:rsidRPr="000F080C">
        <w:rPr>
          <w:rFonts w:ascii="Times New Roman" w:hAnsi="Times New Roman" w:cs="Times New Roman"/>
        </w:rPr>
        <w:t xml:space="preserve">    </w:t>
      </w:r>
      <w:r w:rsidR="00BB571E" w:rsidRPr="000F080C">
        <w:rPr>
          <w:rFonts w:ascii="Times New Roman" w:hAnsi="Times New Roman" w:cs="Times New Roman"/>
        </w:rPr>
        <w:t xml:space="preserve">  </w:t>
      </w:r>
      <w:r w:rsidR="00AD1761" w:rsidRPr="000F080C">
        <w:rPr>
          <w:rFonts w:ascii="Times New Roman" w:hAnsi="Times New Roman" w:cs="Times New Roman"/>
        </w:rPr>
        <w:t xml:space="preserve">   </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2" w:name="_Toc167211859"/>
      <w:bookmarkStart w:id="43" w:name="_Toc167214496"/>
      <w:r w:rsidRPr="00BA4329">
        <w:rPr>
          <w:rFonts w:ascii="Times New Roman" w:hAnsi="Times New Roman" w:cs="Times New Roman"/>
          <w:sz w:val="24"/>
          <w:szCs w:val="24"/>
        </w:rPr>
        <w:t>CONCLUSIONS</w:t>
      </w:r>
      <w:bookmarkEnd w:id="42"/>
      <w:bookmarkEnd w:id="43"/>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 xml:space="preserve">Our results underscore the need for enhanced </w:t>
      </w:r>
      <w:r w:rsidRPr="00BA4329">
        <w:rPr>
          <w:rFonts w:ascii="Times New Roman" w:hAnsi="Times New Roman" w:cs="Times New Roman"/>
        </w:rPr>
        <w:lastRenderedPageBreak/>
        <w:t>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w:t>
      </w:r>
      <w:r w:rsidRPr="00BA4329">
        <w:rPr>
          <w:rFonts w:ascii="Times New Roman" w:hAnsi="Times New Roman" w:cs="Times New Roman"/>
        </w:rPr>
        <w:lastRenderedPageBreak/>
        <w:t xml:space="preserve">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4" w:name="_Toc167211860"/>
      <w:bookmarkStart w:id="45" w:name="_Toc167214497"/>
      <w:r w:rsidRPr="00BA4329">
        <w:rPr>
          <w:rFonts w:ascii="Times New Roman" w:hAnsi="Times New Roman" w:cs="Times New Roman"/>
          <w:sz w:val="24"/>
          <w:szCs w:val="24"/>
        </w:rPr>
        <w:lastRenderedPageBreak/>
        <w:t>REFERENCE</w:t>
      </w:r>
      <w:bookmarkEnd w:id="44"/>
      <w:bookmarkEnd w:id="45"/>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6" w:name="_Toc167211861"/>
      <w:bookmarkStart w:id="47" w:name="_Toc167214498"/>
      <w:r w:rsidRPr="00BA4329">
        <w:rPr>
          <w:rFonts w:ascii="Times New Roman" w:hAnsi="Times New Roman" w:cs="Times New Roman"/>
          <w:sz w:val="24"/>
          <w:szCs w:val="24"/>
        </w:rPr>
        <w:lastRenderedPageBreak/>
        <w:t>Table 1 Sample Firms Descriptions</w:t>
      </w:r>
      <w:bookmarkEnd w:id="46"/>
      <w:bookmarkEnd w:id="47"/>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48" w:name="_Toc167211862"/>
      <w:bookmarkStart w:id="49"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48"/>
      <w:bookmarkEnd w:id="49"/>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0" w:name="_Toc167211863"/>
      <w:bookmarkStart w:id="51"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0"/>
      <w:bookmarkEnd w:id="51"/>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2" w:name="_Toc167211864"/>
      <w:bookmarkStart w:id="53" w:name="_Hlk161597882"/>
      <w:bookmarkStart w:id="54" w:name="_Toc167214501"/>
      <w:r w:rsidRPr="00BA4329">
        <w:rPr>
          <w:rFonts w:ascii="Times New Roman" w:hAnsi="Times New Roman" w:cs="Times New Roman"/>
          <w:sz w:val="24"/>
          <w:szCs w:val="24"/>
        </w:rPr>
        <w:lastRenderedPageBreak/>
        <w:t>Panel B Spearman Correlation Matrix</w:t>
      </w:r>
      <w:bookmarkEnd w:id="52"/>
      <w:bookmarkEnd w:id="54"/>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5" w:name="_Toc167211865"/>
      <w:bookmarkStart w:id="56" w:name="_Toc167214502"/>
      <w:bookmarkEnd w:id="53"/>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5"/>
      <w:bookmarkEnd w:id="56"/>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7" w:name="_Toc167211866"/>
      <w:bookmarkStart w:id="58"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7"/>
      <w:bookmarkEnd w:id="5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59" w:name="_Toc167211867"/>
      <w:bookmarkStart w:id="60"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59"/>
      <w:bookmarkEnd w:id="6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1" w:name="_Toc167211868"/>
      <w:bookmarkStart w:id="62"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1"/>
      <w:bookmarkEnd w:id="62"/>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3" w:name="_Toc167211869"/>
      <w:bookmarkStart w:id="64"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3"/>
      <w:bookmarkEnd w:id="6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5" w:name="_Toc167211870"/>
      <w:bookmarkStart w:id="66" w:name="_Hlk166338915"/>
      <w:bookmarkStart w:id="67" w:name="_Toc167214507"/>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5"/>
      <w:bookmarkEnd w:id="67"/>
    </w:p>
    <w:bookmarkEnd w:id="6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68" w:name="_Toc167211871"/>
      <w:bookmarkStart w:id="69"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68"/>
      <w:bookmarkEnd w:id="6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7"/>
        <w:gridCol w:w="1870"/>
        <w:gridCol w:w="1966"/>
        <w:gridCol w:w="1966"/>
        <w:gridCol w:w="2337"/>
      </w:tblGrid>
      <w:tr w:rsidR="00863A52" w:rsidRPr="00863A52" w14:paraId="699631AD" w14:textId="77777777" w:rsidTr="00863A52">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863A52">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863A52">
        <w:trPr>
          <w:tblCellSpacing w:w="15" w:type="dxa"/>
        </w:trPr>
        <w:tc>
          <w:tcPr>
            <w:tcW w:w="811"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43"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863A52">
        <w:trPr>
          <w:tblCellSpacing w:w="15" w:type="dxa"/>
        </w:trPr>
        <w:tc>
          <w:tcPr>
            <w:tcW w:w="811"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43"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863A52">
        <w:trPr>
          <w:tblCellSpacing w:w="15" w:type="dxa"/>
        </w:trPr>
        <w:tc>
          <w:tcPr>
            <w:tcW w:w="811"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100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100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130"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863A52">
        <w:trPr>
          <w:tblCellSpacing w:w="15" w:type="dxa"/>
        </w:trPr>
        <w:tc>
          <w:tcPr>
            <w:tcW w:w="811"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100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100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130"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863A52">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863A52">
        <w:trPr>
          <w:tblCellSpacing w:w="15" w:type="dxa"/>
        </w:trPr>
        <w:tc>
          <w:tcPr>
            <w:tcW w:w="811"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5"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100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863A52">
        <w:trPr>
          <w:tblCellSpacing w:w="15" w:type="dxa"/>
        </w:trPr>
        <w:tc>
          <w:tcPr>
            <w:tcW w:w="811"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100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863A52">
        <w:trPr>
          <w:tblCellSpacing w:w="15" w:type="dxa"/>
        </w:trPr>
        <w:tc>
          <w:tcPr>
            <w:tcW w:w="811"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863A52">
        <w:trPr>
          <w:tblCellSpacing w:w="15" w:type="dxa"/>
        </w:trPr>
        <w:tc>
          <w:tcPr>
            <w:tcW w:w="811"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55"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863A52">
        <w:trPr>
          <w:tblCellSpacing w:w="15" w:type="dxa"/>
        </w:trPr>
        <w:tc>
          <w:tcPr>
            <w:tcW w:w="811"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100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130"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863A52">
        <w:trPr>
          <w:tblCellSpacing w:w="15" w:type="dxa"/>
        </w:trPr>
        <w:tc>
          <w:tcPr>
            <w:tcW w:w="811"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863A52">
        <w:trPr>
          <w:tblCellSpacing w:w="15" w:type="dxa"/>
        </w:trPr>
        <w:tc>
          <w:tcPr>
            <w:tcW w:w="811"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55"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863A52">
        <w:trPr>
          <w:tblCellSpacing w:w="15" w:type="dxa"/>
        </w:trPr>
        <w:tc>
          <w:tcPr>
            <w:tcW w:w="811"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100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100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130"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863A52">
        <w:trPr>
          <w:tblCellSpacing w:w="15" w:type="dxa"/>
        </w:trPr>
        <w:tc>
          <w:tcPr>
            <w:tcW w:w="811"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863A52">
        <w:trPr>
          <w:tblCellSpacing w:w="15" w:type="dxa"/>
        </w:trPr>
        <w:tc>
          <w:tcPr>
            <w:tcW w:w="811"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55"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100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130"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863A52">
        <w:trPr>
          <w:tblCellSpacing w:w="15" w:type="dxa"/>
        </w:trPr>
        <w:tc>
          <w:tcPr>
            <w:tcW w:w="811"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100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100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130"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863A52">
        <w:trPr>
          <w:tblCellSpacing w:w="15" w:type="dxa"/>
        </w:trPr>
        <w:tc>
          <w:tcPr>
            <w:tcW w:w="811"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863A52">
        <w:trPr>
          <w:tblCellSpacing w:w="15" w:type="dxa"/>
        </w:trPr>
        <w:tc>
          <w:tcPr>
            <w:tcW w:w="811"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55"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863A52">
        <w:trPr>
          <w:tblCellSpacing w:w="15" w:type="dxa"/>
        </w:trPr>
        <w:tc>
          <w:tcPr>
            <w:tcW w:w="811"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100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100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130"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863A52">
        <w:trPr>
          <w:tblCellSpacing w:w="15" w:type="dxa"/>
        </w:trPr>
        <w:tc>
          <w:tcPr>
            <w:tcW w:w="811"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863A52">
        <w:trPr>
          <w:tblCellSpacing w:w="15" w:type="dxa"/>
        </w:trPr>
        <w:tc>
          <w:tcPr>
            <w:tcW w:w="811"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55"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863A52">
        <w:trPr>
          <w:tblCellSpacing w:w="15" w:type="dxa"/>
        </w:trPr>
        <w:tc>
          <w:tcPr>
            <w:tcW w:w="811"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100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100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130"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863A52">
        <w:trPr>
          <w:tblCellSpacing w:w="15" w:type="dxa"/>
        </w:trPr>
        <w:tc>
          <w:tcPr>
            <w:tcW w:w="811"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863A52">
        <w:trPr>
          <w:tblCellSpacing w:w="15" w:type="dxa"/>
        </w:trPr>
        <w:tc>
          <w:tcPr>
            <w:tcW w:w="811"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55"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863A52">
        <w:trPr>
          <w:tblCellSpacing w:w="15" w:type="dxa"/>
        </w:trPr>
        <w:tc>
          <w:tcPr>
            <w:tcW w:w="811"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100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100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130"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863A52">
        <w:trPr>
          <w:tblCellSpacing w:w="15" w:type="dxa"/>
        </w:trPr>
        <w:tc>
          <w:tcPr>
            <w:tcW w:w="811"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863A52">
        <w:trPr>
          <w:tblCellSpacing w:w="15" w:type="dxa"/>
        </w:trPr>
        <w:tc>
          <w:tcPr>
            <w:tcW w:w="811"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55"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100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100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130"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863A52">
        <w:trPr>
          <w:tblCellSpacing w:w="15" w:type="dxa"/>
        </w:trPr>
        <w:tc>
          <w:tcPr>
            <w:tcW w:w="811"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100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100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130"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863A52">
        <w:trPr>
          <w:tblCellSpacing w:w="15" w:type="dxa"/>
        </w:trPr>
        <w:tc>
          <w:tcPr>
            <w:tcW w:w="811"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863A52">
        <w:trPr>
          <w:tblCellSpacing w:w="15" w:type="dxa"/>
        </w:trPr>
        <w:tc>
          <w:tcPr>
            <w:tcW w:w="811"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55"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100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863A52">
        <w:trPr>
          <w:tblCellSpacing w:w="15" w:type="dxa"/>
        </w:trPr>
        <w:tc>
          <w:tcPr>
            <w:tcW w:w="811"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100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100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130"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863A52">
        <w:trPr>
          <w:tblCellSpacing w:w="15" w:type="dxa"/>
        </w:trPr>
        <w:tc>
          <w:tcPr>
            <w:tcW w:w="811"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863A52">
        <w:trPr>
          <w:tblCellSpacing w:w="15" w:type="dxa"/>
        </w:trPr>
        <w:tc>
          <w:tcPr>
            <w:tcW w:w="811"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55"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100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863A52">
        <w:trPr>
          <w:tblCellSpacing w:w="15" w:type="dxa"/>
        </w:trPr>
        <w:tc>
          <w:tcPr>
            <w:tcW w:w="811"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100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100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130"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863A52">
        <w:trPr>
          <w:tblCellSpacing w:w="15" w:type="dxa"/>
        </w:trPr>
        <w:tc>
          <w:tcPr>
            <w:tcW w:w="811"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863A52">
        <w:trPr>
          <w:tblCellSpacing w:w="15" w:type="dxa"/>
        </w:trPr>
        <w:tc>
          <w:tcPr>
            <w:tcW w:w="811"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55"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100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100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130"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863A52">
        <w:trPr>
          <w:tblCellSpacing w:w="15" w:type="dxa"/>
        </w:trPr>
        <w:tc>
          <w:tcPr>
            <w:tcW w:w="811"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100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100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130"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863A52">
        <w:trPr>
          <w:tblCellSpacing w:w="15" w:type="dxa"/>
        </w:trPr>
        <w:tc>
          <w:tcPr>
            <w:tcW w:w="811"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863A52">
        <w:trPr>
          <w:tblCellSpacing w:w="15" w:type="dxa"/>
        </w:trPr>
        <w:tc>
          <w:tcPr>
            <w:tcW w:w="811"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55"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100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100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863A52">
        <w:trPr>
          <w:tblCellSpacing w:w="15" w:type="dxa"/>
        </w:trPr>
        <w:tc>
          <w:tcPr>
            <w:tcW w:w="811"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100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100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130"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863A52">
        <w:trPr>
          <w:tblCellSpacing w:w="15" w:type="dxa"/>
        </w:trPr>
        <w:tc>
          <w:tcPr>
            <w:tcW w:w="811"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863A52">
        <w:trPr>
          <w:tblCellSpacing w:w="15" w:type="dxa"/>
        </w:trPr>
        <w:tc>
          <w:tcPr>
            <w:tcW w:w="811"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ADJROA</w:t>
            </w:r>
          </w:p>
        </w:tc>
        <w:tc>
          <w:tcPr>
            <w:tcW w:w="955"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100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863A52">
        <w:trPr>
          <w:tblCellSpacing w:w="15" w:type="dxa"/>
        </w:trPr>
        <w:tc>
          <w:tcPr>
            <w:tcW w:w="811"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100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100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130"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863A52">
        <w:trPr>
          <w:tblCellSpacing w:w="15" w:type="dxa"/>
        </w:trPr>
        <w:tc>
          <w:tcPr>
            <w:tcW w:w="811"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863A52">
        <w:trPr>
          <w:tblCellSpacing w:w="15" w:type="dxa"/>
        </w:trPr>
        <w:tc>
          <w:tcPr>
            <w:tcW w:w="811"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55"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863A52">
        <w:trPr>
          <w:tblCellSpacing w:w="15" w:type="dxa"/>
        </w:trPr>
        <w:tc>
          <w:tcPr>
            <w:tcW w:w="811"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100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100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130"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863A52">
        <w:trPr>
          <w:tblCellSpacing w:w="15" w:type="dxa"/>
        </w:trPr>
        <w:tc>
          <w:tcPr>
            <w:tcW w:w="811"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863A52">
        <w:trPr>
          <w:tblCellSpacing w:w="15" w:type="dxa"/>
        </w:trPr>
        <w:tc>
          <w:tcPr>
            <w:tcW w:w="811"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55"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863A52">
        <w:trPr>
          <w:tblCellSpacing w:w="15" w:type="dxa"/>
        </w:trPr>
        <w:tc>
          <w:tcPr>
            <w:tcW w:w="811"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100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100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130"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863A52">
        <w:trPr>
          <w:tblCellSpacing w:w="15" w:type="dxa"/>
        </w:trPr>
        <w:tc>
          <w:tcPr>
            <w:tcW w:w="811"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863A52">
        <w:trPr>
          <w:tblCellSpacing w:w="15" w:type="dxa"/>
        </w:trPr>
        <w:tc>
          <w:tcPr>
            <w:tcW w:w="811"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55"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863A52">
        <w:trPr>
          <w:tblCellSpacing w:w="15" w:type="dxa"/>
        </w:trPr>
        <w:tc>
          <w:tcPr>
            <w:tcW w:w="811"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100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863A52">
        <w:trPr>
          <w:tblCellSpacing w:w="15" w:type="dxa"/>
        </w:trPr>
        <w:tc>
          <w:tcPr>
            <w:tcW w:w="811"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863A52">
        <w:trPr>
          <w:tblCellSpacing w:w="15" w:type="dxa"/>
        </w:trPr>
        <w:tc>
          <w:tcPr>
            <w:tcW w:w="811"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55"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863A52">
        <w:trPr>
          <w:tblCellSpacing w:w="15" w:type="dxa"/>
        </w:trPr>
        <w:tc>
          <w:tcPr>
            <w:tcW w:w="811"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100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130"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863A52">
        <w:trPr>
          <w:tblCellSpacing w:w="15" w:type="dxa"/>
        </w:trPr>
        <w:tc>
          <w:tcPr>
            <w:tcW w:w="811"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863A52">
        <w:trPr>
          <w:tblCellSpacing w:w="15" w:type="dxa"/>
        </w:trPr>
        <w:tc>
          <w:tcPr>
            <w:tcW w:w="811"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55"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863A52">
        <w:trPr>
          <w:tblCellSpacing w:w="15" w:type="dxa"/>
        </w:trPr>
        <w:tc>
          <w:tcPr>
            <w:tcW w:w="811"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100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130"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863A52">
        <w:trPr>
          <w:tblCellSpacing w:w="15" w:type="dxa"/>
        </w:trPr>
        <w:tc>
          <w:tcPr>
            <w:tcW w:w="811"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863A52">
        <w:trPr>
          <w:tblCellSpacing w:w="15" w:type="dxa"/>
        </w:trPr>
        <w:tc>
          <w:tcPr>
            <w:tcW w:w="811"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55"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100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863A52">
        <w:trPr>
          <w:tblCellSpacing w:w="15" w:type="dxa"/>
        </w:trPr>
        <w:tc>
          <w:tcPr>
            <w:tcW w:w="811"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100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100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130"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3CD20E8B" w14:textId="77777777" w:rsidTr="00863A52">
        <w:trPr>
          <w:tblCellSpacing w:w="15" w:type="dxa"/>
        </w:trPr>
        <w:tc>
          <w:tcPr>
            <w:tcW w:w="811" w:type="pct"/>
            <w:vAlign w:val="center"/>
            <w:hideMark/>
          </w:tcPr>
          <w:p w14:paraId="702760E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1BD5CEE"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8A2D6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A0138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BE7206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7A06CD4" w14:textId="77777777" w:rsidTr="00863A52">
        <w:trPr>
          <w:tblCellSpacing w:w="15" w:type="dxa"/>
        </w:trPr>
        <w:tc>
          <w:tcPr>
            <w:tcW w:w="811" w:type="pct"/>
            <w:vAlign w:val="center"/>
            <w:hideMark/>
          </w:tcPr>
          <w:p w14:paraId="6184B4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Constant</w:t>
            </w:r>
          </w:p>
        </w:tc>
        <w:tc>
          <w:tcPr>
            <w:tcW w:w="955" w:type="pct"/>
            <w:vAlign w:val="center"/>
            <w:hideMark/>
          </w:tcPr>
          <w:p w14:paraId="3B0004D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16.617</w:t>
            </w:r>
          </w:p>
        </w:tc>
        <w:tc>
          <w:tcPr>
            <w:tcW w:w="1006" w:type="pct"/>
            <w:vAlign w:val="center"/>
            <w:hideMark/>
          </w:tcPr>
          <w:p w14:paraId="0AC6DA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44.156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9A69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24.924</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6C17B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20.116</w:t>
            </w:r>
            <w:r w:rsidRPr="00863A52">
              <w:rPr>
                <w:rFonts w:ascii="Times New Roman" w:eastAsia="新細明體" w:hAnsi="Times New Roman" w:cs="Times New Roman"/>
                <w:kern w:val="0"/>
                <w:sz w:val="20"/>
                <w:szCs w:val="20"/>
                <w:vertAlign w:val="superscript"/>
              </w:rPr>
              <w:t>**</w:t>
            </w:r>
          </w:p>
        </w:tc>
      </w:tr>
      <w:tr w:rsidR="00863A52" w:rsidRPr="00863A52" w14:paraId="01180325" w14:textId="77777777" w:rsidTr="00863A52">
        <w:trPr>
          <w:tblCellSpacing w:w="15" w:type="dxa"/>
        </w:trPr>
        <w:tc>
          <w:tcPr>
            <w:tcW w:w="811" w:type="pct"/>
            <w:vAlign w:val="center"/>
            <w:hideMark/>
          </w:tcPr>
          <w:p w14:paraId="407BF34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E30EB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1.208</w:t>
            </w:r>
          </w:p>
        </w:tc>
        <w:tc>
          <w:tcPr>
            <w:tcW w:w="1006" w:type="pct"/>
            <w:vAlign w:val="center"/>
            <w:hideMark/>
          </w:tcPr>
          <w:p w14:paraId="65B6EA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3.341</w:t>
            </w:r>
          </w:p>
        </w:tc>
        <w:tc>
          <w:tcPr>
            <w:tcW w:w="1006" w:type="pct"/>
            <w:vAlign w:val="center"/>
            <w:hideMark/>
          </w:tcPr>
          <w:p w14:paraId="3542B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4.714</w:t>
            </w:r>
          </w:p>
        </w:tc>
        <w:tc>
          <w:tcPr>
            <w:tcW w:w="1130" w:type="pct"/>
            <w:vAlign w:val="center"/>
            <w:hideMark/>
          </w:tcPr>
          <w:p w14:paraId="5C353AA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2.149</w:t>
            </w:r>
          </w:p>
        </w:tc>
      </w:tr>
      <w:tr w:rsidR="00863A52" w:rsidRPr="00863A52" w14:paraId="7F21454C" w14:textId="77777777" w:rsidTr="00863A52">
        <w:trPr>
          <w:tblCellSpacing w:w="15" w:type="dxa"/>
        </w:trPr>
        <w:tc>
          <w:tcPr>
            <w:tcW w:w="811" w:type="pct"/>
            <w:vAlign w:val="center"/>
            <w:hideMark/>
          </w:tcPr>
          <w:p w14:paraId="113D5A3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9B9C2AB"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66E20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9E798E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4E2E2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D1AC945" w14:textId="77777777" w:rsidTr="00863A52">
        <w:trPr>
          <w:tblCellSpacing w:w="15" w:type="dxa"/>
        </w:trPr>
        <w:tc>
          <w:tcPr>
            <w:tcW w:w="4969" w:type="pct"/>
            <w:gridSpan w:val="5"/>
            <w:tcBorders>
              <w:bottom w:val="single" w:sz="6" w:space="0" w:color="000000"/>
            </w:tcBorders>
            <w:vAlign w:val="center"/>
            <w:hideMark/>
          </w:tcPr>
          <w:p w14:paraId="3A6C703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90ED34" w14:textId="77777777" w:rsidTr="00863A52">
        <w:trPr>
          <w:tblCellSpacing w:w="15" w:type="dxa"/>
        </w:trPr>
        <w:tc>
          <w:tcPr>
            <w:tcW w:w="811" w:type="pct"/>
            <w:vAlign w:val="center"/>
            <w:hideMark/>
          </w:tcPr>
          <w:p w14:paraId="37A85899"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55" w:type="pct"/>
            <w:vAlign w:val="center"/>
            <w:hideMark/>
          </w:tcPr>
          <w:p w14:paraId="505BBB3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006" w:type="pct"/>
            <w:vAlign w:val="center"/>
            <w:hideMark/>
          </w:tcPr>
          <w:p w14:paraId="6A2A6B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006" w:type="pct"/>
            <w:vAlign w:val="center"/>
            <w:hideMark/>
          </w:tcPr>
          <w:p w14:paraId="785D6A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130" w:type="pct"/>
            <w:vAlign w:val="center"/>
            <w:hideMark/>
          </w:tcPr>
          <w:p w14:paraId="32D6CD5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863A52" w:rsidRPr="00863A52" w14:paraId="3F1E8887" w14:textId="77777777" w:rsidTr="00863A52">
        <w:trPr>
          <w:tblCellSpacing w:w="15" w:type="dxa"/>
        </w:trPr>
        <w:tc>
          <w:tcPr>
            <w:tcW w:w="811" w:type="pct"/>
            <w:vAlign w:val="center"/>
            <w:hideMark/>
          </w:tcPr>
          <w:p w14:paraId="53E8D93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55" w:type="pct"/>
            <w:vAlign w:val="center"/>
            <w:hideMark/>
          </w:tcPr>
          <w:p w14:paraId="26E271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1006" w:type="pct"/>
            <w:vAlign w:val="center"/>
            <w:hideMark/>
          </w:tcPr>
          <w:p w14:paraId="5821215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1006" w:type="pct"/>
            <w:vAlign w:val="center"/>
            <w:hideMark/>
          </w:tcPr>
          <w:p w14:paraId="0A07D6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130" w:type="pct"/>
            <w:vAlign w:val="center"/>
            <w:hideMark/>
          </w:tcPr>
          <w:p w14:paraId="69BAD2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863A52" w:rsidRPr="00863A52" w14:paraId="386775D4" w14:textId="77777777" w:rsidTr="00863A52">
        <w:trPr>
          <w:tblCellSpacing w:w="15" w:type="dxa"/>
        </w:trPr>
        <w:tc>
          <w:tcPr>
            <w:tcW w:w="811" w:type="pct"/>
            <w:vAlign w:val="center"/>
            <w:hideMark/>
          </w:tcPr>
          <w:p w14:paraId="11687E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55" w:type="pct"/>
            <w:vAlign w:val="center"/>
            <w:hideMark/>
          </w:tcPr>
          <w:p w14:paraId="70B6D9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1006" w:type="pct"/>
            <w:vAlign w:val="center"/>
            <w:hideMark/>
          </w:tcPr>
          <w:p w14:paraId="31CFA8A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1006" w:type="pct"/>
            <w:vAlign w:val="center"/>
            <w:hideMark/>
          </w:tcPr>
          <w:p w14:paraId="0686EF0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130" w:type="pct"/>
            <w:vAlign w:val="center"/>
            <w:hideMark/>
          </w:tcPr>
          <w:p w14:paraId="018DCFB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863A52" w:rsidRPr="00863A52" w14:paraId="653DC84C" w14:textId="77777777" w:rsidTr="00863A52">
        <w:trPr>
          <w:tblCellSpacing w:w="15" w:type="dxa"/>
        </w:trPr>
        <w:tc>
          <w:tcPr>
            <w:tcW w:w="811" w:type="pct"/>
            <w:vAlign w:val="center"/>
            <w:hideMark/>
          </w:tcPr>
          <w:p w14:paraId="4640CAAD"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55" w:type="pct"/>
            <w:vAlign w:val="center"/>
            <w:hideMark/>
          </w:tcPr>
          <w:p w14:paraId="3EAC2B4F" w14:textId="45F2717B"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006" w:type="pct"/>
            <w:vAlign w:val="center"/>
            <w:hideMark/>
          </w:tcPr>
          <w:p w14:paraId="6E065515" w14:textId="00F851C8"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006" w:type="pct"/>
            <w:vAlign w:val="center"/>
            <w:hideMark/>
          </w:tcPr>
          <w:p w14:paraId="03FAE93D" w14:textId="51660DD1"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130" w:type="pct"/>
            <w:vAlign w:val="center"/>
            <w:hideMark/>
          </w:tcPr>
          <w:p w14:paraId="4BD27E22" w14:textId="532CF28D"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863A52" w:rsidRPr="00863A52" w14:paraId="62F846D6" w14:textId="77777777" w:rsidTr="00863A52">
        <w:trPr>
          <w:tblCellSpacing w:w="15" w:type="dxa"/>
        </w:trPr>
        <w:tc>
          <w:tcPr>
            <w:tcW w:w="4969" w:type="pct"/>
            <w:gridSpan w:val="5"/>
            <w:tcBorders>
              <w:bottom w:val="single" w:sz="6" w:space="0" w:color="000000"/>
            </w:tcBorders>
            <w:vAlign w:val="center"/>
            <w:hideMark/>
          </w:tcPr>
          <w:p w14:paraId="0E3A05AC"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5AF3A740" w14:textId="77777777" w:rsidTr="00863A52">
        <w:trPr>
          <w:tblCellSpacing w:w="15" w:type="dxa"/>
        </w:trPr>
        <w:tc>
          <w:tcPr>
            <w:tcW w:w="4969" w:type="pct"/>
            <w:gridSpan w:val="5"/>
            <w:vAlign w:val="center"/>
            <w:hideMark/>
          </w:tcPr>
          <w:p w14:paraId="1906C089" w14:textId="297C6759" w:rsidR="00863A52" w:rsidRDefault="00863A52" w:rsidP="00863A5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954102" w:rsidRDefault="00954102" w:rsidP="00863A52">
            <w:pPr>
              <w:rPr>
                <w:rFonts w:ascii="Times New Roman" w:hAnsi="Times New Roman" w:cs="Times New Roman"/>
                <w:kern w:val="0"/>
                <w:sz w:val="18"/>
                <w:szCs w:val="18"/>
              </w:rPr>
            </w:pPr>
          </w:p>
          <w:p w14:paraId="0BD62C7D" w14:textId="327561BF" w:rsidR="00954102" w:rsidRDefault="00954102" w:rsidP="00863A52">
            <w:pPr>
              <w:rPr>
                <w:rFonts w:ascii="Times New Roman" w:hAnsi="Times New Roman" w:cs="Times New Roman"/>
                <w:kern w:val="0"/>
                <w:sz w:val="18"/>
                <w:szCs w:val="18"/>
              </w:rPr>
            </w:pPr>
          </w:p>
          <w:p w14:paraId="5C33A7EA" w14:textId="44BD9972" w:rsidR="00954102" w:rsidRDefault="00954102" w:rsidP="00863A52">
            <w:pPr>
              <w:rPr>
                <w:rFonts w:ascii="Times New Roman" w:hAnsi="Times New Roman" w:cs="Times New Roman"/>
                <w:kern w:val="0"/>
                <w:sz w:val="18"/>
                <w:szCs w:val="18"/>
              </w:rPr>
            </w:pPr>
          </w:p>
          <w:p w14:paraId="38B4714C" w14:textId="7D6B4400" w:rsidR="00954102" w:rsidRDefault="00954102" w:rsidP="00863A52">
            <w:pPr>
              <w:rPr>
                <w:rFonts w:ascii="Times New Roman" w:hAnsi="Times New Roman" w:cs="Times New Roman"/>
                <w:kern w:val="0"/>
                <w:sz w:val="18"/>
                <w:szCs w:val="18"/>
              </w:rPr>
            </w:pPr>
          </w:p>
          <w:p w14:paraId="171CBA93" w14:textId="442E5592" w:rsidR="00954102" w:rsidRDefault="00954102" w:rsidP="00863A52">
            <w:pPr>
              <w:rPr>
                <w:rFonts w:ascii="Times New Roman" w:hAnsi="Times New Roman" w:cs="Times New Roman"/>
                <w:kern w:val="0"/>
                <w:sz w:val="18"/>
                <w:szCs w:val="18"/>
              </w:rPr>
            </w:pPr>
          </w:p>
          <w:p w14:paraId="40959669" w14:textId="45B801DA" w:rsidR="00954102" w:rsidRDefault="00954102" w:rsidP="00863A52">
            <w:pPr>
              <w:rPr>
                <w:rFonts w:ascii="Times New Roman" w:hAnsi="Times New Roman" w:cs="Times New Roman"/>
                <w:kern w:val="0"/>
                <w:sz w:val="18"/>
                <w:szCs w:val="18"/>
              </w:rPr>
            </w:pPr>
          </w:p>
          <w:p w14:paraId="3F2BDB84" w14:textId="10913032" w:rsidR="00954102" w:rsidRDefault="00954102" w:rsidP="00863A52">
            <w:pPr>
              <w:rPr>
                <w:rFonts w:ascii="Times New Roman" w:hAnsi="Times New Roman" w:cs="Times New Roman"/>
                <w:kern w:val="0"/>
                <w:sz w:val="18"/>
                <w:szCs w:val="18"/>
              </w:rPr>
            </w:pPr>
          </w:p>
          <w:p w14:paraId="2CF2AE74" w14:textId="751B6C22" w:rsidR="00954102" w:rsidRDefault="00954102" w:rsidP="00863A52">
            <w:pPr>
              <w:rPr>
                <w:rFonts w:ascii="Times New Roman" w:hAnsi="Times New Roman" w:cs="Times New Roman"/>
                <w:kern w:val="0"/>
                <w:sz w:val="18"/>
                <w:szCs w:val="18"/>
              </w:rPr>
            </w:pPr>
          </w:p>
          <w:p w14:paraId="381045F2" w14:textId="77777777" w:rsidR="00954102" w:rsidRPr="00BA4329" w:rsidRDefault="00954102" w:rsidP="00863A52">
            <w:pPr>
              <w:rPr>
                <w:rFonts w:ascii="Times New Roman" w:hAnsi="Times New Roman" w:cs="Times New Roman"/>
                <w:kern w:val="0"/>
                <w:sz w:val="18"/>
                <w:szCs w:val="18"/>
              </w:rPr>
            </w:pPr>
          </w:p>
          <w:p w14:paraId="4856D8D3" w14:textId="77777777" w:rsidR="00863A52" w:rsidRDefault="00863A52" w:rsidP="00863A52">
            <w:pPr>
              <w:widowControl/>
              <w:rPr>
                <w:rFonts w:ascii="Times New Roman" w:eastAsia="新細明體" w:hAnsi="Times New Roman" w:cs="Times New Roman"/>
                <w:kern w:val="0"/>
                <w:sz w:val="20"/>
                <w:szCs w:val="20"/>
              </w:rPr>
            </w:pPr>
          </w:p>
          <w:p w14:paraId="23BF3A78" w14:textId="77777777" w:rsidR="006F02A4" w:rsidRDefault="006F02A4" w:rsidP="00863A52">
            <w:pPr>
              <w:widowControl/>
              <w:rPr>
                <w:rFonts w:ascii="Times New Roman" w:eastAsia="新細明體" w:hAnsi="Times New Roman" w:cs="Times New Roman"/>
                <w:kern w:val="0"/>
                <w:sz w:val="20"/>
                <w:szCs w:val="20"/>
              </w:rPr>
            </w:pPr>
          </w:p>
          <w:p w14:paraId="08C699F9" w14:textId="77777777" w:rsidR="006F02A4" w:rsidRDefault="006F02A4" w:rsidP="00863A52">
            <w:pPr>
              <w:widowControl/>
              <w:rPr>
                <w:rFonts w:ascii="Times New Roman" w:eastAsia="新細明體" w:hAnsi="Times New Roman" w:cs="Times New Roman"/>
                <w:kern w:val="0"/>
                <w:sz w:val="20"/>
                <w:szCs w:val="20"/>
              </w:rPr>
            </w:pPr>
          </w:p>
          <w:p w14:paraId="128E5C0D" w14:textId="77777777" w:rsidR="006F02A4" w:rsidRDefault="006F02A4" w:rsidP="00863A52">
            <w:pPr>
              <w:widowControl/>
              <w:rPr>
                <w:rFonts w:ascii="Times New Roman" w:eastAsia="新細明體" w:hAnsi="Times New Roman" w:cs="Times New Roman"/>
                <w:kern w:val="0"/>
                <w:sz w:val="20"/>
                <w:szCs w:val="20"/>
              </w:rPr>
            </w:pPr>
          </w:p>
          <w:p w14:paraId="6D552DD5" w14:textId="77777777" w:rsidR="006F02A4" w:rsidRDefault="006F02A4" w:rsidP="00863A52">
            <w:pPr>
              <w:widowControl/>
              <w:rPr>
                <w:rFonts w:ascii="Times New Roman" w:eastAsia="新細明體" w:hAnsi="Times New Roman" w:cs="Times New Roman"/>
                <w:kern w:val="0"/>
                <w:sz w:val="20"/>
                <w:szCs w:val="20"/>
              </w:rPr>
            </w:pPr>
          </w:p>
          <w:p w14:paraId="70E8EB76" w14:textId="77777777" w:rsidR="006F02A4" w:rsidRDefault="006F02A4" w:rsidP="00863A52">
            <w:pPr>
              <w:widowControl/>
              <w:rPr>
                <w:rFonts w:ascii="Times New Roman" w:eastAsia="新細明體" w:hAnsi="Times New Roman" w:cs="Times New Roman"/>
                <w:kern w:val="0"/>
                <w:sz w:val="20"/>
                <w:szCs w:val="20"/>
              </w:rPr>
            </w:pPr>
          </w:p>
          <w:p w14:paraId="734CA8C4" w14:textId="77777777" w:rsidR="006F02A4" w:rsidRDefault="006F02A4" w:rsidP="00863A52">
            <w:pPr>
              <w:widowControl/>
              <w:rPr>
                <w:rFonts w:ascii="Times New Roman" w:eastAsia="新細明體" w:hAnsi="Times New Roman" w:cs="Times New Roman"/>
                <w:kern w:val="0"/>
                <w:sz w:val="20"/>
                <w:szCs w:val="20"/>
              </w:rPr>
            </w:pPr>
          </w:p>
          <w:p w14:paraId="3BFAE548" w14:textId="77777777" w:rsidR="006F02A4" w:rsidRDefault="006F02A4" w:rsidP="00863A52">
            <w:pPr>
              <w:widowControl/>
              <w:rPr>
                <w:rFonts w:ascii="Times New Roman" w:eastAsia="新細明體" w:hAnsi="Times New Roman" w:cs="Times New Roman"/>
                <w:kern w:val="0"/>
                <w:sz w:val="20"/>
                <w:szCs w:val="20"/>
              </w:rPr>
            </w:pPr>
          </w:p>
          <w:p w14:paraId="24B0994D" w14:textId="77777777" w:rsidR="006F02A4" w:rsidRDefault="006F02A4" w:rsidP="00863A52">
            <w:pPr>
              <w:widowControl/>
              <w:rPr>
                <w:rFonts w:ascii="Times New Roman" w:eastAsia="新細明體" w:hAnsi="Times New Roman" w:cs="Times New Roman"/>
                <w:kern w:val="0"/>
                <w:sz w:val="20"/>
                <w:szCs w:val="20"/>
              </w:rPr>
            </w:pPr>
          </w:p>
          <w:p w14:paraId="63B9AA63" w14:textId="77777777" w:rsidR="006F02A4" w:rsidRDefault="006F02A4" w:rsidP="00863A52">
            <w:pPr>
              <w:widowControl/>
              <w:rPr>
                <w:rFonts w:ascii="Times New Roman" w:eastAsia="新細明體" w:hAnsi="Times New Roman" w:cs="Times New Roman"/>
                <w:kern w:val="0"/>
                <w:sz w:val="20"/>
                <w:szCs w:val="20"/>
              </w:rPr>
            </w:pPr>
          </w:p>
          <w:p w14:paraId="4648D453" w14:textId="77777777" w:rsidR="006F02A4" w:rsidRDefault="006F02A4" w:rsidP="00863A52">
            <w:pPr>
              <w:widowControl/>
              <w:rPr>
                <w:rFonts w:ascii="Times New Roman" w:eastAsia="新細明體" w:hAnsi="Times New Roman" w:cs="Times New Roman"/>
                <w:kern w:val="0"/>
                <w:sz w:val="20"/>
                <w:szCs w:val="20"/>
              </w:rPr>
            </w:pPr>
          </w:p>
          <w:p w14:paraId="55FEA305" w14:textId="77777777" w:rsidR="006F02A4" w:rsidRDefault="006F02A4" w:rsidP="00863A52">
            <w:pPr>
              <w:widowControl/>
              <w:rPr>
                <w:rFonts w:ascii="Times New Roman" w:eastAsia="新細明體" w:hAnsi="Times New Roman" w:cs="Times New Roman"/>
                <w:kern w:val="0"/>
                <w:sz w:val="20"/>
                <w:szCs w:val="20"/>
              </w:rPr>
            </w:pPr>
          </w:p>
          <w:p w14:paraId="64884609" w14:textId="7C16FD77" w:rsidR="006F02A4" w:rsidRPr="00863A52" w:rsidRDefault="006F02A4" w:rsidP="00863A52">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0" w:name="_Toc167211872"/>
      <w:bookmarkStart w:id="71" w:name="_Toc167214509"/>
      <w:r w:rsidRPr="00BA4329">
        <w:rPr>
          <w:rFonts w:ascii="Times New Roman" w:hAnsi="Times New Roman" w:cs="Times New Roman"/>
          <w:sz w:val="24"/>
          <w:szCs w:val="24"/>
        </w:rPr>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0"/>
      <w:bookmarkEnd w:id="7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8"/>
        <w:gridCol w:w="1891"/>
        <w:gridCol w:w="1991"/>
        <w:gridCol w:w="1991"/>
        <w:gridCol w:w="2245"/>
      </w:tblGrid>
      <w:tr w:rsidR="00B07681" w:rsidRPr="00B07681" w14:paraId="1A6273A9" w14:textId="77777777" w:rsidTr="0048415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48415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484153">
        <w:trPr>
          <w:tblCellSpacing w:w="15" w:type="dxa"/>
        </w:trPr>
        <w:tc>
          <w:tcPr>
            <w:tcW w:w="822"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3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484153">
        <w:trPr>
          <w:tblCellSpacing w:w="15" w:type="dxa"/>
        </w:trPr>
        <w:tc>
          <w:tcPr>
            <w:tcW w:w="822"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3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484153">
        <w:trPr>
          <w:tblCellSpacing w:w="15" w:type="dxa"/>
        </w:trPr>
        <w:tc>
          <w:tcPr>
            <w:tcW w:w="822"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1019"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1019"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081"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484153">
        <w:trPr>
          <w:tblCellSpacing w:w="15" w:type="dxa"/>
        </w:trPr>
        <w:tc>
          <w:tcPr>
            <w:tcW w:w="822"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1019"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1019"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081"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48415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484153">
        <w:trPr>
          <w:tblCellSpacing w:w="15" w:type="dxa"/>
        </w:trPr>
        <w:tc>
          <w:tcPr>
            <w:tcW w:w="822"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6"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1019"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484153">
        <w:trPr>
          <w:tblCellSpacing w:w="15" w:type="dxa"/>
        </w:trPr>
        <w:tc>
          <w:tcPr>
            <w:tcW w:w="822"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1019"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484153">
        <w:trPr>
          <w:tblCellSpacing w:w="15" w:type="dxa"/>
        </w:trPr>
        <w:tc>
          <w:tcPr>
            <w:tcW w:w="822"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484153">
        <w:trPr>
          <w:tblCellSpacing w:w="15" w:type="dxa"/>
        </w:trPr>
        <w:tc>
          <w:tcPr>
            <w:tcW w:w="822"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66"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484153">
        <w:trPr>
          <w:tblCellSpacing w:w="15" w:type="dxa"/>
        </w:trPr>
        <w:tc>
          <w:tcPr>
            <w:tcW w:w="822"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1019"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081"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484153">
        <w:trPr>
          <w:tblCellSpacing w:w="15" w:type="dxa"/>
        </w:trPr>
        <w:tc>
          <w:tcPr>
            <w:tcW w:w="822"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484153">
        <w:trPr>
          <w:tblCellSpacing w:w="15" w:type="dxa"/>
        </w:trPr>
        <w:tc>
          <w:tcPr>
            <w:tcW w:w="822"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66"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484153">
        <w:trPr>
          <w:tblCellSpacing w:w="15" w:type="dxa"/>
        </w:trPr>
        <w:tc>
          <w:tcPr>
            <w:tcW w:w="822"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1019"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1019"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081"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484153">
        <w:trPr>
          <w:tblCellSpacing w:w="15" w:type="dxa"/>
        </w:trPr>
        <w:tc>
          <w:tcPr>
            <w:tcW w:w="822"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484153">
        <w:trPr>
          <w:tblCellSpacing w:w="15" w:type="dxa"/>
        </w:trPr>
        <w:tc>
          <w:tcPr>
            <w:tcW w:w="822"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66"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1019"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081"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484153">
        <w:trPr>
          <w:tblCellSpacing w:w="15" w:type="dxa"/>
        </w:trPr>
        <w:tc>
          <w:tcPr>
            <w:tcW w:w="822"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1019"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1019"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081"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484153">
        <w:trPr>
          <w:tblCellSpacing w:w="15" w:type="dxa"/>
        </w:trPr>
        <w:tc>
          <w:tcPr>
            <w:tcW w:w="822"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484153">
        <w:trPr>
          <w:tblCellSpacing w:w="15" w:type="dxa"/>
        </w:trPr>
        <w:tc>
          <w:tcPr>
            <w:tcW w:w="822"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66"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1019"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1019"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081"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484153">
        <w:trPr>
          <w:tblCellSpacing w:w="15" w:type="dxa"/>
        </w:trPr>
        <w:tc>
          <w:tcPr>
            <w:tcW w:w="822"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1019"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1019"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081"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484153">
        <w:trPr>
          <w:tblCellSpacing w:w="15" w:type="dxa"/>
        </w:trPr>
        <w:tc>
          <w:tcPr>
            <w:tcW w:w="822"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484153">
        <w:trPr>
          <w:tblCellSpacing w:w="15" w:type="dxa"/>
        </w:trPr>
        <w:tc>
          <w:tcPr>
            <w:tcW w:w="822"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66"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1019"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1019"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081"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484153">
        <w:trPr>
          <w:tblCellSpacing w:w="15" w:type="dxa"/>
        </w:trPr>
        <w:tc>
          <w:tcPr>
            <w:tcW w:w="822"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1019"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1019"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081"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484153">
        <w:trPr>
          <w:tblCellSpacing w:w="15" w:type="dxa"/>
        </w:trPr>
        <w:tc>
          <w:tcPr>
            <w:tcW w:w="822"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484153">
        <w:trPr>
          <w:tblCellSpacing w:w="15" w:type="dxa"/>
        </w:trPr>
        <w:tc>
          <w:tcPr>
            <w:tcW w:w="822"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66"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484153">
        <w:trPr>
          <w:tblCellSpacing w:w="15" w:type="dxa"/>
        </w:trPr>
        <w:tc>
          <w:tcPr>
            <w:tcW w:w="822"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1019"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1019"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081"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484153">
        <w:trPr>
          <w:tblCellSpacing w:w="15" w:type="dxa"/>
        </w:trPr>
        <w:tc>
          <w:tcPr>
            <w:tcW w:w="822"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484153">
        <w:trPr>
          <w:tblCellSpacing w:w="15" w:type="dxa"/>
        </w:trPr>
        <w:tc>
          <w:tcPr>
            <w:tcW w:w="822"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MTB</w:t>
            </w:r>
          </w:p>
        </w:tc>
        <w:tc>
          <w:tcPr>
            <w:tcW w:w="966"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19"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1019"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081"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484153">
        <w:trPr>
          <w:tblCellSpacing w:w="15" w:type="dxa"/>
        </w:trPr>
        <w:tc>
          <w:tcPr>
            <w:tcW w:w="822"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1019"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1019"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081"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484153">
        <w:trPr>
          <w:tblCellSpacing w:w="15" w:type="dxa"/>
        </w:trPr>
        <w:tc>
          <w:tcPr>
            <w:tcW w:w="822"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484153">
        <w:trPr>
          <w:tblCellSpacing w:w="15" w:type="dxa"/>
        </w:trPr>
        <w:tc>
          <w:tcPr>
            <w:tcW w:w="822"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66"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484153">
        <w:trPr>
          <w:tblCellSpacing w:w="15" w:type="dxa"/>
        </w:trPr>
        <w:tc>
          <w:tcPr>
            <w:tcW w:w="822"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1019"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1019"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081"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484153">
        <w:trPr>
          <w:tblCellSpacing w:w="15" w:type="dxa"/>
        </w:trPr>
        <w:tc>
          <w:tcPr>
            <w:tcW w:w="822"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484153">
        <w:trPr>
          <w:tblCellSpacing w:w="15" w:type="dxa"/>
        </w:trPr>
        <w:tc>
          <w:tcPr>
            <w:tcW w:w="822"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66"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1019"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1019"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81"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484153">
        <w:trPr>
          <w:tblCellSpacing w:w="15" w:type="dxa"/>
        </w:trPr>
        <w:tc>
          <w:tcPr>
            <w:tcW w:w="822"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1019"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1019"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081"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484153">
        <w:trPr>
          <w:tblCellSpacing w:w="15" w:type="dxa"/>
        </w:trPr>
        <w:tc>
          <w:tcPr>
            <w:tcW w:w="822"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484153">
        <w:trPr>
          <w:tblCellSpacing w:w="15" w:type="dxa"/>
        </w:trPr>
        <w:tc>
          <w:tcPr>
            <w:tcW w:w="822"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66"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484153">
        <w:trPr>
          <w:tblCellSpacing w:w="15" w:type="dxa"/>
        </w:trPr>
        <w:tc>
          <w:tcPr>
            <w:tcW w:w="822"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1019"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1019"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081"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484153">
        <w:trPr>
          <w:tblCellSpacing w:w="15" w:type="dxa"/>
        </w:trPr>
        <w:tc>
          <w:tcPr>
            <w:tcW w:w="822"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484153">
        <w:trPr>
          <w:tblCellSpacing w:w="15" w:type="dxa"/>
        </w:trPr>
        <w:tc>
          <w:tcPr>
            <w:tcW w:w="822"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66"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1019"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81"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484153">
        <w:trPr>
          <w:tblCellSpacing w:w="15" w:type="dxa"/>
        </w:trPr>
        <w:tc>
          <w:tcPr>
            <w:tcW w:w="822"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1019"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1019"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081"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484153">
        <w:trPr>
          <w:tblCellSpacing w:w="15" w:type="dxa"/>
        </w:trPr>
        <w:tc>
          <w:tcPr>
            <w:tcW w:w="822"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484153">
        <w:trPr>
          <w:tblCellSpacing w:w="15" w:type="dxa"/>
        </w:trPr>
        <w:tc>
          <w:tcPr>
            <w:tcW w:w="822"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66"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081"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484153">
        <w:trPr>
          <w:tblCellSpacing w:w="15" w:type="dxa"/>
        </w:trPr>
        <w:tc>
          <w:tcPr>
            <w:tcW w:w="822"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1019"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1019"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081"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484153">
        <w:trPr>
          <w:tblCellSpacing w:w="15" w:type="dxa"/>
        </w:trPr>
        <w:tc>
          <w:tcPr>
            <w:tcW w:w="822"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484153">
        <w:trPr>
          <w:tblCellSpacing w:w="15" w:type="dxa"/>
        </w:trPr>
        <w:tc>
          <w:tcPr>
            <w:tcW w:w="822"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66"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1019"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1019"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484153">
        <w:trPr>
          <w:tblCellSpacing w:w="15" w:type="dxa"/>
        </w:trPr>
        <w:tc>
          <w:tcPr>
            <w:tcW w:w="822"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1019"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1019"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081"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484153">
        <w:trPr>
          <w:tblCellSpacing w:w="15" w:type="dxa"/>
        </w:trPr>
        <w:tc>
          <w:tcPr>
            <w:tcW w:w="822"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484153">
        <w:trPr>
          <w:tblCellSpacing w:w="15" w:type="dxa"/>
        </w:trPr>
        <w:tc>
          <w:tcPr>
            <w:tcW w:w="822"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66"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1019"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484153">
        <w:trPr>
          <w:tblCellSpacing w:w="15" w:type="dxa"/>
        </w:trPr>
        <w:tc>
          <w:tcPr>
            <w:tcW w:w="822"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1019"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1019"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081"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484153">
        <w:trPr>
          <w:tblCellSpacing w:w="15" w:type="dxa"/>
        </w:trPr>
        <w:tc>
          <w:tcPr>
            <w:tcW w:w="822"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484153">
        <w:trPr>
          <w:tblCellSpacing w:w="15" w:type="dxa"/>
        </w:trPr>
        <w:tc>
          <w:tcPr>
            <w:tcW w:w="822"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66"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1019"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1019"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081"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484153">
        <w:trPr>
          <w:tblCellSpacing w:w="15" w:type="dxa"/>
        </w:trPr>
        <w:tc>
          <w:tcPr>
            <w:tcW w:w="822"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1019"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1019"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081"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484153">
        <w:trPr>
          <w:tblCellSpacing w:w="15" w:type="dxa"/>
        </w:trPr>
        <w:tc>
          <w:tcPr>
            <w:tcW w:w="822"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484153">
        <w:trPr>
          <w:tblCellSpacing w:w="15" w:type="dxa"/>
        </w:trPr>
        <w:tc>
          <w:tcPr>
            <w:tcW w:w="822"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66"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484153">
        <w:trPr>
          <w:tblCellSpacing w:w="15" w:type="dxa"/>
        </w:trPr>
        <w:tc>
          <w:tcPr>
            <w:tcW w:w="822"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1019"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1019"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081"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484153">
        <w:trPr>
          <w:tblCellSpacing w:w="15" w:type="dxa"/>
        </w:trPr>
        <w:tc>
          <w:tcPr>
            <w:tcW w:w="822"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484153">
        <w:trPr>
          <w:tblCellSpacing w:w="15" w:type="dxa"/>
        </w:trPr>
        <w:tc>
          <w:tcPr>
            <w:tcW w:w="822"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66"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484153">
        <w:trPr>
          <w:tblCellSpacing w:w="15" w:type="dxa"/>
        </w:trPr>
        <w:tc>
          <w:tcPr>
            <w:tcW w:w="822"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1019"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484153">
        <w:trPr>
          <w:tblCellSpacing w:w="15" w:type="dxa"/>
        </w:trPr>
        <w:tc>
          <w:tcPr>
            <w:tcW w:w="822"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484153">
        <w:trPr>
          <w:tblCellSpacing w:w="15" w:type="dxa"/>
        </w:trPr>
        <w:tc>
          <w:tcPr>
            <w:tcW w:w="822"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66"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484153">
        <w:trPr>
          <w:tblCellSpacing w:w="15" w:type="dxa"/>
        </w:trPr>
        <w:tc>
          <w:tcPr>
            <w:tcW w:w="822"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1019"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081"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484153">
        <w:trPr>
          <w:tblCellSpacing w:w="15" w:type="dxa"/>
        </w:trPr>
        <w:tc>
          <w:tcPr>
            <w:tcW w:w="822"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484153">
        <w:trPr>
          <w:tblCellSpacing w:w="15" w:type="dxa"/>
        </w:trPr>
        <w:tc>
          <w:tcPr>
            <w:tcW w:w="822"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66"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484153">
        <w:trPr>
          <w:tblCellSpacing w:w="15" w:type="dxa"/>
        </w:trPr>
        <w:tc>
          <w:tcPr>
            <w:tcW w:w="822"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1019"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081"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484153">
        <w:trPr>
          <w:tblCellSpacing w:w="15" w:type="dxa"/>
        </w:trPr>
        <w:tc>
          <w:tcPr>
            <w:tcW w:w="822"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484153">
        <w:trPr>
          <w:tblCellSpacing w:w="15" w:type="dxa"/>
        </w:trPr>
        <w:tc>
          <w:tcPr>
            <w:tcW w:w="822"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66"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019"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484153">
        <w:trPr>
          <w:tblCellSpacing w:w="15" w:type="dxa"/>
        </w:trPr>
        <w:tc>
          <w:tcPr>
            <w:tcW w:w="822"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1019"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1019"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081"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5A025A6" w14:textId="77777777" w:rsidTr="00484153">
        <w:trPr>
          <w:tblCellSpacing w:w="15" w:type="dxa"/>
        </w:trPr>
        <w:tc>
          <w:tcPr>
            <w:tcW w:w="822" w:type="pct"/>
            <w:vAlign w:val="center"/>
            <w:hideMark/>
          </w:tcPr>
          <w:p w14:paraId="4D5D513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001F6A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365F998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C912F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8DEC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2B33B5F" w14:textId="77777777" w:rsidTr="00484153">
        <w:trPr>
          <w:tblCellSpacing w:w="15" w:type="dxa"/>
        </w:trPr>
        <w:tc>
          <w:tcPr>
            <w:tcW w:w="822" w:type="pct"/>
            <w:vAlign w:val="center"/>
            <w:hideMark/>
          </w:tcPr>
          <w:p w14:paraId="7BD1224D"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Constant</w:t>
            </w:r>
          </w:p>
        </w:tc>
        <w:tc>
          <w:tcPr>
            <w:tcW w:w="966" w:type="pct"/>
            <w:vAlign w:val="center"/>
            <w:hideMark/>
          </w:tcPr>
          <w:p w14:paraId="211DCB6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15.029</w:t>
            </w:r>
          </w:p>
        </w:tc>
        <w:tc>
          <w:tcPr>
            <w:tcW w:w="1019" w:type="pct"/>
            <w:vAlign w:val="center"/>
            <w:hideMark/>
          </w:tcPr>
          <w:p w14:paraId="0F0FEED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16.908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714A036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12.132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3F7125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5.353</w:t>
            </w:r>
          </w:p>
        </w:tc>
      </w:tr>
      <w:tr w:rsidR="00B07681" w:rsidRPr="00B07681" w14:paraId="42E5436A" w14:textId="77777777" w:rsidTr="00484153">
        <w:trPr>
          <w:tblCellSpacing w:w="15" w:type="dxa"/>
        </w:trPr>
        <w:tc>
          <w:tcPr>
            <w:tcW w:w="822" w:type="pct"/>
            <w:vAlign w:val="center"/>
            <w:hideMark/>
          </w:tcPr>
          <w:p w14:paraId="60F99C8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2F5D76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1.604</w:t>
            </w:r>
          </w:p>
        </w:tc>
        <w:tc>
          <w:tcPr>
            <w:tcW w:w="1019" w:type="pct"/>
            <w:vAlign w:val="center"/>
            <w:hideMark/>
          </w:tcPr>
          <w:p w14:paraId="0C5582C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2.203</w:t>
            </w:r>
          </w:p>
        </w:tc>
        <w:tc>
          <w:tcPr>
            <w:tcW w:w="1019" w:type="pct"/>
            <w:vAlign w:val="center"/>
            <w:hideMark/>
          </w:tcPr>
          <w:p w14:paraId="4785F5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3.132</w:t>
            </w:r>
          </w:p>
        </w:tc>
        <w:tc>
          <w:tcPr>
            <w:tcW w:w="1081" w:type="pct"/>
            <w:vAlign w:val="center"/>
            <w:hideMark/>
          </w:tcPr>
          <w:p w14:paraId="7915583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1.064</w:t>
            </w:r>
          </w:p>
        </w:tc>
      </w:tr>
      <w:tr w:rsidR="00B07681" w:rsidRPr="00B07681" w14:paraId="5964DB99" w14:textId="77777777" w:rsidTr="00484153">
        <w:trPr>
          <w:tblCellSpacing w:w="15" w:type="dxa"/>
        </w:trPr>
        <w:tc>
          <w:tcPr>
            <w:tcW w:w="822" w:type="pct"/>
            <w:vAlign w:val="center"/>
            <w:hideMark/>
          </w:tcPr>
          <w:p w14:paraId="70581DD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F7D7CE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C2D5B9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431FC08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42A64A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0A2291F" w14:textId="77777777" w:rsidTr="0048415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484153">
        <w:trPr>
          <w:tblCellSpacing w:w="15" w:type="dxa"/>
        </w:trPr>
        <w:tc>
          <w:tcPr>
            <w:tcW w:w="822" w:type="pct"/>
            <w:vAlign w:val="center"/>
            <w:hideMark/>
          </w:tcPr>
          <w:p w14:paraId="7810764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Observations</w:t>
            </w:r>
          </w:p>
        </w:tc>
        <w:tc>
          <w:tcPr>
            <w:tcW w:w="966" w:type="pct"/>
            <w:vAlign w:val="center"/>
            <w:hideMark/>
          </w:tcPr>
          <w:p w14:paraId="2A978BB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19" w:type="pct"/>
            <w:vAlign w:val="center"/>
            <w:hideMark/>
          </w:tcPr>
          <w:p w14:paraId="12D6DA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19" w:type="pct"/>
            <w:vAlign w:val="center"/>
            <w:hideMark/>
          </w:tcPr>
          <w:p w14:paraId="5794814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81" w:type="pct"/>
            <w:vAlign w:val="center"/>
            <w:hideMark/>
          </w:tcPr>
          <w:p w14:paraId="772F56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B07681" w:rsidRPr="00B07681" w14:paraId="646CEF0C" w14:textId="77777777" w:rsidTr="00484153">
        <w:trPr>
          <w:tblCellSpacing w:w="15" w:type="dxa"/>
        </w:trPr>
        <w:tc>
          <w:tcPr>
            <w:tcW w:w="822" w:type="pct"/>
            <w:vAlign w:val="center"/>
            <w:hideMark/>
          </w:tcPr>
          <w:p w14:paraId="4B972BD6"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66" w:type="pct"/>
            <w:vAlign w:val="center"/>
            <w:hideMark/>
          </w:tcPr>
          <w:p w14:paraId="017990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1019" w:type="pct"/>
            <w:vAlign w:val="center"/>
            <w:hideMark/>
          </w:tcPr>
          <w:p w14:paraId="2FAC3D7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1019" w:type="pct"/>
            <w:vAlign w:val="center"/>
            <w:hideMark/>
          </w:tcPr>
          <w:p w14:paraId="7DBE741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081" w:type="pct"/>
            <w:vAlign w:val="center"/>
            <w:hideMark/>
          </w:tcPr>
          <w:p w14:paraId="0E7974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B07681" w:rsidRPr="00B07681" w14:paraId="60FCF137" w14:textId="77777777" w:rsidTr="00484153">
        <w:trPr>
          <w:tblCellSpacing w:w="15" w:type="dxa"/>
        </w:trPr>
        <w:tc>
          <w:tcPr>
            <w:tcW w:w="822" w:type="pct"/>
            <w:vAlign w:val="center"/>
            <w:hideMark/>
          </w:tcPr>
          <w:p w14:paraId="421B839D"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66" w:type="pct"/>
            <w:vAlign w:val="center"/>
            <w:hideMark/>
          </w:tcPr>
          <w:p w14:paraId="3494F93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1019" w:type="pct"/>
            <w:vAlign w:val="center"/>
            <w:hideMark/>
          </w:tcPr>
          <w:p w14:paraId="5229DB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1019" w:type="pct"/>
            <w:vAlign w:val="center"/>
            <w:hideMark/>
          </w:tcPr>
          <w:p w14:paraId="2ADEFD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081" w:type="pct"/>
            <w:vAlign w:val="center"/>
            <w:hideMark/>
          </w:tcPr>
          <w:p w14:paraId="47BAB6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B07681" w:rsidRPr="00B07681" w14:paraId="47925209" w14:textId="77777777" w:rsidTr="00484153">
        <w:trPr>
          <w:tblCellSpacing w:w="15" w:type="dxa"/>
        </w:trPr>
        <w:tc>
          <w:tcPr>
            <w:tcW w:w="822" w:type="pct"/>
            <w:vAlign w:val="center"/>
            <w:hideMark/>
          </w:tcPr>
          <w:p w14:paraId="793E7E6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66" w:type="pct"/>
            <w:vAlign w:val="center"/>
            <w:hideMark/>
          </w:tcPr>
          <w:p w14:paraId="6D855EC9" w14:textId="6E98E418"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19" w:type="pct"/>
            <w:vAlign w:val="center"/>
            <w:hideMark/>
          </w:tcPr>
          <w:p w14:paraId="3092259A" w14:textId="7A73625A"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19" w:type="pct"/>
            <w:vAlign w:val="center"/>
            <w:hideMark/>
          </w:tcPr>
          <w:p w14:paraId="71B96407" w14:textId="37911DCB"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81" w:type="pct"/>
            <w:vAlign w:val="center"/>
            <w:hideMark/>
          </w:tcPr>
          <w:p w14:paraId="703F4DA3" w14:textId="49924345"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484153" w:rsidRPr="00B07681" w14:paraId="2CF8DB1C" w14:textId="77777777" w:rsidTr="00484153">
        <w:trPr>
          <w:tblCellSpacing w:w="15" w:type="dxa"/>
        </w:trPr>
        <w:tc>
          <w:tcPr>
            <w:tcW w:w="822" w:type="pct"/>
            <w:vAlign w:val="center"/>
          </w:tcPr>
          <w:p w14:paraId="00282153" w14:textId="35272386" w:rsidR="00484153" w:rsidRPr="00B07681" w:rsidRDefault="00484153" w:rsidP="0048415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66" w:type="pct"/>
            <w:vAlign w:val="center"/>
          </w:tcPr>
          <w:p w14:paraId="398AA9B7" w14:textId="1F243ECA"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050</w:t>
            </w:r>
            <w:r>
              <w:rPr>
                <w:rFonts w:ascii="Times New Roman" w:eastAsia="新細明體" w:hAnsi="Times New Roman" w:cs="Times New Roman"/>
                <w:kern w:val="0"/>
                <w:sz w:val="20"/>
                <w:szCs w:val="20"/>
              </w:rPr>
              <w:t>*</w:t>
            </w:r>
            <w:r w:rsidR="00D75925">
              <w:rPr>
                <w:rFonts w:ascii="Times New Roman" w:eastAsia="新細明體" w:hAnsi="Times New Roman" w:cs="Times New Roman"/>
                <w:kern w:val="0"/>
                <w:sz w:val="20"/>
                <w:szCs w:val="20"/>
              </w:rPr>
              <w:t>*</w:t>
            </w:r>
          </w:p>
          <w:p w14:paraId="1E9322A7" w14:textId="0798C15C"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w:t>
            </w:r>
            <w:r w:rsidR="00DE7B53">
              <w:rPr>
                <w:rFonts w:ascii="Times New Roman" w:eastAsia="新細明體" w:hAnsi="Times New Roman" w:cs="Times New Roman"/>
                <w:kern w:val="0"/>
                <w:sz w:val="20"/>
                <w:szCs w:val="20"/>
              </w:rPr>
              <w:t>314</w:t>
            </w:r>
          </w:p>
        </w:tc>
        <w:tc>
          <w:tcPr>
            <w:tcW w:w="1019" w:type="pct"/>
            <w:vAlign w:val="center"/>
          </w:tcPr>
          <w:p w14:paraId="1685DD2E" w14:textId="249DD2F6"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DE7B53">
              <w:rPr>
                <w:rFonts w:ascii="Times New Roman" w:eastAsia="新細明體" w:hAnsi="Times New Roman" w:cs="Times New Roman"/>
                <w:kern w:val="0"/>
                <w:sz w:val="20"/>
                <w:szCs w:val="20"/>
              </w:rPr>
              <w:t>74</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w:t>
            </w:r>
          </w:p>
          <w:p w14:paraId="0DA52EAC" w14:textId="06B3CF80"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DE7B53">
              <w:rPr>
                <w:rFonts w:ascii="Times New Roman" w:eastAsia="新細明體" w:hAnsi="Times New Roman" w:cs="Times New Roman"/>
                <w:kern w:val="0"/>
                <w:sz w:val="20"/>
                <w:szCs w:val="20"/>
              </w:rPr>
              <w:t>3</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323</w:t>
            </w:r>
          </w:p>
        </w:tc>
        <w:tc>
          <w:tcPr>
            <w:tcW w:w="1019" w:type="pct"/>
            <w:vAlign w:val="center"/>
          </w:tcPr>
          <w:p w14:paraId="416D0FF2" w14:textId="6AC00044"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246DF4">
              <w:rPr>
                <w:rFonts w:ascii="Times New Roman" w:eastAsia="新細明體" w:hAnsi="Times New Roman" w:cs="Times New Roman"/>
                <w:kern w:val="0"/>
                <w:sz w:val="20"/>
                <w:szCs w:val="20"/>
              </w:rPr>
              <w:t>41</w:t>
            </w:r>
            <w:r>
              <w:rPr>
                <w:rFonts w:ascii="Times New Roman" w:eastAsia="新細明體" w:hAnsi="Times New Roman" w:cs="Times New Roman"/>
                <w:kern w:val="0"/>
                <w:sz w:val="20"/>
                <w:szCs w:val="20"/>
              </w:rPr>
              <w:t>***</w:t>
            </w:r>
          </w:p>
          <w:p w14:paraId="14FC41B9" w14:textId="38415AA6"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246DF4">
              <w:rPr>
                <w:rFonts w:ascii="Times New Roman" w:eastAsia="新細明體" w:hAnsi="Times New Roman" w:cs="Times New Roman"/>
                <w:kern w:val="0"/>
                <w:sz w:val="20"/>
                <w:szCs w:val="20"/>
              </w:rPr>
              <w:t>3.655</w:t>
            </w:r>
          </w:p>
        </w:tc>
        <w:tc>
          <w:tcPr>
            <w:tcW w:w="1081" w:type="pct"/>
            <w:vAlign w:val="center"/>
          </w:tcPr>
          <w:p w14:paraId="577C4AE2" w14:textId="4C8981A1"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A72B86">
              <w:rPr>
                <w:rFonts w:ascii="Times New Roman" w:eastAsia="新細明體" w:hAnsi="Times New Roman" w:cs="Times New Roman"/>
                <w:kern w:val="0"/>
                <w:sz w:val="20"/>
                <w:szCs w:val="20"/>
              </w:rPr>
              <w:t>33</w:t>
            </w:r>
            <w:r>
              <w:rPr>
                <w:rFonts w:ascii="Times New Roman" w:eastAsia="新細明體" w:hAnsi="Times New Roman" w:cs="Times New Roman"/>
                <w:kern w:val="0"/>
                <w:sz w:val="20"/>
                <w:szCs w:val="20"/>
              </w:rPr>
              <w:t>*</w:t>
            </w:r>
            <w:r w:rsidR="00D75925">
              <w:rPr>
                <w:rFonts w:ascii="Times New Roman" w:eastAsia="新細明體" w:hAnsi="Times New Roman" w:cs="Times New Roman"/>
                <w:kern w:val="0"/>
                <w:sz w:val="20"/>
                <w:szCs w:val="20"/>
              </w:rPr>
              <w:t>*</w:t>
            </w:r>
          </w:p>
          <w:p w14:paraId="2C720364" w14:textId="7F1974D0"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A72B86">
              <w:rPr>
                <w:rFonts w:ascii="Times New Roman" w:eastAsia="新細明體" w:hAnsi="Times New Roman" w:cs="Times New Roman"/>
                <w:kern w:val="0"/>
                <w:sz w:val="20"/>
                <w:szCs w:val="20"/>
              </w:rPr>
              <w:t>2</w:t>
            </w:r>
            <w:r>
              <w:rPr>
                <w:rFonts w:ascii="Times New Roman" w:eastAsia="新細明體" w:hAnsi="Times New Roman" w:cs="Times New Roman"/>
                <w:kern w:val="0"/>
                <w:sz w:val="20"/>
                <w:szCs w:val="20"/>
              </w:rPr>
              <w:t>.</w:t>
            </w:r>
            <w:r w:rsidR="00A72B86">
              <w:rPr>
                <w:rFonts w:ascii="Times New Roman" w:eastAsia="新細明體" w:hAnsi="Times New Roman" w:cs="Times New Roman"/>
                <w:kern w:val="0"/>
                <w:sz w:val="20"/>
                <w:szCs w:val="20"/>
              </w:rPr>
              <w:t>231</w:t>
            </w:r>
          </w:p>
        </w:tc>
      </w:tr>
      <w:tr w:rsidR="00484153" w:rsidRPr="00B07681" w14:paraId="736B537E" w14:textId="77777777" w:rsidTr="00484153">
        <w:trPr>
          <w:tblCellSpacing w:w="15" w:type="dxa"/>
        </w:trPr>
        <w:tc>
          <w:tcPr>
            <w:tcW w:w="4969" w:type="pct"/>
            <w:gridSpan w:val="5"/>
            <w:tcBorders>
              <w:bottom w:val="single" w:sz="6" w:space="0" w:color="000000"/>
            </w:tcBorders>
            <w:vAlign w:val="center"/>
            <w:hideMark/>
          </w:tcPr>
          <w:p w14:paraId="53620BCB" w14:textId="77777777" w:rsidR="00484153" w:rsidRPr="00B07681" w:rsidRDefault="00484153" w:rsidP="00484153">
            <w:pPr>
              <w:widowControl/>
              <w:jc w:val="center"/>
              <w:rPr>
                <w:rFonts w:ascii="Times New Roman" w:eastAsia="新細明體" w:hAnsi="Times New Roman" w:cs="Times New Roman"/>
                <w:kern w:val="0"/>
                <w:sz w:val="20"/>
                <w:szCs w:val="20"/>
              </w:rPr>
            </w:pPr>
          </w:p>
        </w:tc>
      </w:tr>
      <w:tr w:rsidR="00484153" w:rsidRPr="00B07681" w14:paraId="04D1FAD4" w14:textId="77777777" w:rsidTr="00484153">
        <w:trPr>
          <w:tblCellSpacing w:w="15" w:type="dxa"/>
        </w:trPr>
        <w:tc>
          <w:tcPr>
            <w:tcW w:w="4969" w:type="pct"/>
            <w:gridSpan w:val="5"/>
            <w:vAlign w:val="center"/>
            <w:hideMark/>
          </w:tcPr>
          <w:p w14:paraId="38B03619" w14:textId="77777777" w:rsidR="00AB75AC" w:rsidRPr="00267C4E" w:rsidRDefault="00AB75AC" w:rsidP="00AB75AC">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484153" w:rsidRPr="00AB75AC" w:rsidRDefault="00484153" w:rsidP="0048415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Pr="00954102" w:rsidRDefault="006F02A4"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2" w:name="_Toc167211873"/>
      <w:bookmarkStart w:id="73" w:name="_Toc167214510"/>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2"/>
      <w:bookmarkEnd w:id="73"/>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74"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4"/>
          <m:r>
            <m:rPr>
              <m:sty m:val="p"/>
            </m:rPr>
            <w:rPr>
              <w:rFonts w:ascii="Cambria Math" w:hAnsi="Cambria Math" w:cs="Times New Roman"/>
            </w:rPr>
            <w:br/>
          </m:r>
        </m:oMath>
      </m:oMathPara>
      <w:r w:rsidRPr="00BA4329">
        <w:rPr>
          <w:rFonts w:ascii="Times New Roman" w:hAnsi="Times New Roman" w:cs="Times New Roman"/>
        </w:rPr>
        <w:t xml:space="preserve">where TA is net income from continuing operations minus operating cash flows; A is total </w:t>
      </w:r>
      <w:r w:rsidRPr="00BA4329">
        <w:rPr>
          <w:rFonts w:ascii="Times New Roman" w:hAnsi="Times New Roman" w:cs="Times New Roman"/>
        </w:rPr>
        <w:lastRenderedPageBreak/>
        <w:t>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5" w:name="_Toc167211874"/>
      <w:bookmarkStart w:id="76" w:name="_Toc167214511"/>
      <w:r w:rsidRPr="00BA4329">
        <w:rPr>
          <w:rFonts w:ascii="Times New Roman" w:hAnsi="Times New Roman" w:cs="Times New Roman"/>
          <w:sz w:val="24"/>
          <w:szCs w:val="24"/>
        </w:rPr>
        <w:lastRenderedPageBreak/>
        <w:t>Appendix B Variables Definition</w:t>
      </w:r>
      <w:bookmarkEnd w:id="75"/>
      <w:bookmarkEnd w:id="76"/>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F32061">
        <w:tc>
          <w:tcPr>
            <w:tcW w:w="1697" w:type="dxa"/>
            <w:tcBorders>
              <w:top w:val="single" w:sz="4" w:space="0" w:color="auto"/>
              <w:bottom w:val="single" w:sz="4" w:space="0" w:color="auto"/>
            </w:tcBorders>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F32061">
        <w:trPr>
          <w:trHeight w:val="310"/>
        </w:trPr>
        <w:tc>
          <w:tcPr>
            <w:tcW w:w="1697" w:type="dxa"/>
            <w:tcBorders>
              <w:top w:val="single" w:sz="4" w:space="0" w:color="auto"/>
            </w:tcBorders>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F32061">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F32061">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F32061">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F32061">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F32061">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F32061">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F32061">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F32061">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F32061">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F32061">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F32061">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F32061">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F32061">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F32061">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F32061">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F32061">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F32061">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F32061">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F32061">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F32061">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F32061">
        <w:trPr>
          <w:trHeight w:val="331"/>
        </w:trPr>
        <w:tc>
          <w:tcPr>
            <w:tcW w:w="1697" w:type="dxa"/>
            <w:tcBorders>
              <w:bottom w:val="single" w:sz="4" w:space="0" w:color="auto"/>
            </w:tcBorders>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769C" w14:textId="77777777" w:rsidR="00F210A3" w:rsidRDefault="00F210A3" w:rsidP="00FD3CBB">
      <w:r>
        <w:separator/>
      </w:r>
    </w:p>
  </w:endnote>
  <w:endnote w:type="continuationSeparator" w:id="0">
    <w:p w14:paraId="3CD37E25" w14:textId="77777777" w:rsidR="00F210A3" w:rsidRDefault="00F210A3"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2010601000101010101"/>
    <w:charset w:val="88"/>
    <w:family w:val="script"/>
    <w:pitch w:val="fixed"/>
    <w:sig w:usb0="F1002BFF" w:usb1="29DFFFFF" w:usb2="00000037" w:usb3="00000000" w:csb0="001000FF"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8FD1" w14:textId="77777777" w:rsidR="00F210A3" w:rsidRDefault="00F210A3" w:rsidP="00FD3CBB">
      <w:r>
        <w:separator/>
      </w:r>
    </w:p>
  </w:footnote>
  <w:footnote w:type="continuationSeparator" w:id="0">
    <w:p w14:paraId="6739C303" w14:textId="77777777" w:rsidR="00F210A3" w:rsidRDefault="00F210A3"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1138"/>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43C5"/>
    <w:rsid w:val="003E64F3"/>
    <w:rsid w:val="003F3B92"/>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1F93"/>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3A5F"/>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F7"/>
    <w:rsid w:val="00921FA5"/>
    <w:rsid w:val="009253C2"/>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E02"/>
    <w:rsid w:val="00997461"/>
    <w:rsid w:val="009A04A5"/>
    <w:rsid w:val="009A240B"/>
    <w:rsid w:val="009A2810"/>
    <w:rsid w:val="009B09BF"/>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28AE"/>
    <w:rsid w:val="00A8540A"/>
    <w:rsid w:val="00A86FBB"/>
    <w:rsid w:val="00A90CBC"/>
    <w:rsid w:val="00A91355"/>
    <w:rsid w:val="00A95263"/>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56</Pages>
  <Words>13692</Words>
  <Characters>78051</Characters>
  <Application>Microsoft Office Word</Application>
  <DocSecurity>0</DocSecurity>
  <Lines>650</Lines>
  <Paragraphs>183</Paragraphs>
  <ScaleCrop>false</ScaleCrop>
  <Company/>
  <LinksUpToDate>false</LinksUpToDate>
  <CharactersWithSpaces>91560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Microsoft Office User</cp:lastModifiedBy>
  <cp:revision>47</cp:revision>
  <dcterms:created xsi:type="dcterms:W3CDTF">2024-05-18T06:15:00Z</dcterms:created>
  <dcterms:modified xsi:type="dcterms:W3CDTF">2024-05-21T12:08:00Z</dcterms:modified>
</cp:coreProperties>
</file>