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Yigitbasioglu,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 Jazayeri, 2003; Matolcsy et al., 2005; Nicolaou, Bhattacharya, 2008; Kanellou, Spathis,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228E74C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Lastly, the strategic implications of ERP on corporate finances, especially in areas like earnings management, have been thoroughly examined, presenting a comprehensive view of its influence beyond traditional performance measures</w:t>
      </w:r>
      <w:r>
        <w:rPr>
          <w:rFonts w:ascii="Times New Roman" w:hAnsi="Times New Roman" w:cs="Times New Roman"/>
        </w:rPr>
        <w:fldChar w:fldCharType="begin"/>
      </w:r>
      <w:r>
        <w:rPr>
          <w:rFonts w:ascii="Times New Roman" w:hAnsi="Times New Roman" w:cs="Times New Roman"/>
        </w:rPr>
        <w:instrText xml:space="preserve"> ADDIN EN.CITE &lt;EndNote&gt;&lt;Cite&gt;&lt;Author&gt;Brazel&lt;/Author&gt;&lt;Year&gt;2008&lt;/Year&gt;&lt;RecNum&gt;28&lt;/RecNum&gt;&lt;DisplayText&gt;(Brazel and Dang 2008)&lt;/DisplayText&gt;&lt;record&gt;&lt;rec-number&gt;28&lt;/rec-number&gt;&lt;foreign-keys&gt;&lt;key app="EN" db-id="tfp5xr25pefev2e5v9sxttfvepzzftz9pdft" timestamp="1707208302"&gt;28&lt;/key&gt;&lt;/foreign-keys&gt;&lt;ref-type name="Journal Article"&gt;17&lt;/ref-type&gt;&lt;contributors&gt;&lt;authors&gt;&lt;author&gt;Brazel, Joseph&lt;/author&gt;&lt;author&gt;Dang, Li&lt;/author&gt;&lt;/authors&gt;&lt;/contributors&gt;&lt;titles&gt;&lt;title&gt;The Effect of ERP System Implementations on the Management of Earnings and Earnings Release Dates&lt;/title&gt;&lt;secondary-title&gt;Journal of Information Systems&lt;/secondary-title&gt;&lt;/titles&gt;&lt;periodical&gt;&lt;full-title&gt;Journal of Information Systems&lt;/full-title&gt;&lt;/periodical&gt;&lt;volume&gt;22&lt;/volume&gt;&lt;dates&gt;&lt;year&gt;2008&lt;/year&gt;&lt;pub-dates&gt;&lt;date&gt;04/23&lt;/date&gt;&lt;/pub-dates&gt;&lt;/dates&gt;&lt;urls&gt;&lt;/urls&gt;&lt;electronic-resource-num&gt;10.2308/jis.2008.22.2.1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(Brazel and Dang 2008)</w:t>
      </w:r>
      <w:r>
        <w:rPr>
          <w:rFonts w:ascii="Times New Roman" w:hAnsi="Times New Roman" w:cs="Times New Roman"/>
        </w:rPr>
        <w:fldChar w:fldCharType="end"/>
      </w:r>
      <w:r w:rsidRPr="009B09BF">
        <w:rPr>
          <w:rFonts w:ascii="Times New Roman" w:hAnsi="Times New Roman" w:cs="Times New Roman"/>
        </w:rPr>
        <w:t>.</w:t>
      </w:r>
      <w:r>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This research delves into the specific impact of RPA on earnings management, a crucial aspect </w:t>
      </w:r>
      <w:r w:rsidRPr="009B09BF">
        <w:rPr>
          <w:rFonts w:ascii="Times New Roman" w:hAnsi="Times New Roman" w:cs="Times New Roman"/>
        </w:rPr>
        <w:lastRenderedPageBreak/>
        <w:t>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6F27C8CD"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50D5A5B4" w14:textId="6A3AE3C5"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p>
    <w:p w14:paraId="06A6F4D5" w14:textId="729EFEF2"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ample </w:t>
      </w:r>
      <w:r w:rsidR="00943C25">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 our final sample comprises 10,100 firm-year 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The approach to determine whether firms implemented Robotic Process Automation (RPA) centers around the comprehensive analysis of their annual reports. However, it is 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lastRenderedPageBreak/>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571BE40F"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TPEx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regulations set forth in the "Regulations Governing Information to be Published in Annual Reports of Public Companies," particularly Article 23. This legal requirement mandates that companies listed on TWSE or traded on TPEx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While the approach allows for working within the constraints of available data, it is 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w:t>
      </w:r>
      <w:r w:rsidR="00233A1E" w:rsidRPr="00233A1E">
        <w:rPr>
          <w:rFonts w:ascii="Times New Roman" w:hAnsi="Times New Roman" w:cs="Times New Roman" w:hint="eastAsia"/>
        </w:rPr>
        <w:lastRenderedPageBreak/>
        <w:t>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p>
    <w:p w14:paraId="174F51D5" w14:textId="6900F327" w:rsidR="002271A6" w:rsidRPr="002271A6" w:rsidRDefault="007B0AC2" w:rsidP="002271A6">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p>
    <w:p w14:paraId="3E8BE2FB" w14:textId="053F04CB" w:rsidR="009D4230" w:rsidRPr="00CD4C7D" w:rsidRDefault="002271A6" w:rsidP="00CD4C7D">
      <w:pPr>
        <w:pStyle w:val="a3"/>
        <w:ind w:leftChars="0" w:left="992"/>
        <w:rPr>
          <w:rFonts w:ascii="Times New Roman" w:hAnsi="Times New Roman" w:cs="Times New Roman"/>
        </w:rPr>
      </w:pPr>
      <w:r w:rsidRPr="002271A6">
        <w:rPr>
          <w:rFonts w:ascii="Times New Roman" w:hAnsi="Times New Roman" w:cs="Times New Roman"/>
        </w:rPr>
        <w:t>In line with previous research, discretionary accruals serve as the chosen proxy for assessing earnings management (Jones 1991; Subramanyam 1996; DeFond and Subramanyam 1998), with the estimation conducted through the cross-sectional modified Jones model (Dechow et al., 1995). To mitigate the impact of performance on discretionary accruals, lagged return on assets (ROA) is incorporated as a regressor in the estimation model. Considering the potential for earnings management to occur in both upward and downward directions, akin to findings in prior studies (Warfield et al. 1995; Becker et al. 1998; Klein 2002), the absolute value of discretionary accruals is calculated to provide a comprehensive measure of earnings management activities.</w:t>
      </w:r>
      <w:r w:rsidR="00CD4C7D">
        <w:rPr>
          <w:rFonts w:ascii="Times New Roman" w:hAnsi="Times New Roman" w:cs="Times New Roman"/>
        </w:rPr>
        <w:t xml:space="preserve"> (Note: </w:t>
      </w:r>
      <w:r w:rsidR="00CD4C7D">
        <w:rPr>
          <w:rFonts w:ascii="Times New Roman" w:hAnsi="Times New Roman" w:cs="Times New Roman" w:hint="eastAsia"/>
        </w:rPr>
        <w:t>要不要擺在</w:t>
      </w:r>
      <w:r w:rsidR="00CD4C7D">
        <w:rPr>
          <w:rFonts w:ascii="Times New Roman" w:hAnsi="Times New Roman" w:cs="Times New Roman" w:hint="eastAsia"/>
        </w:rPr>
        <w:t>Ap</w:t>
      </w:r>
      <w:r w:rsidR="00CD4C7D">
        <w:rPr>
          <w:rFonts w:ascii="Times New Roman" w:hAnsi="Times New Roman" w:cs="Times New Roman"/>
        </w:rPr>
        <w:t>pendix ? )</w:t>
      </w:r>
      <w:r w:rsidR="00CD4C7D">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NI</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57C1B0D9"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 xml:space="preserve">or </m:t>
              </m:r>
              <m:sSub>
                <m:sSubPr>
                  <m:ctrlPr>
                    <w:rPr>
                      <w:rFonts w:ascii="Cambria Math" w:hAnsi="Cambria Math" w:cs="Times New Roman"/>
                      <w:i/>
                    </w:rPr>
                  </m:ctrlPr>
                </m:sSubPr>
                <m:e>
                  <m:r>
                    <w:rPr>
                      <w:rFonts w:ascii="Cambria Math" w:hAnsi="Cambria Math" w:cs="Times New Roman"/>
                    </w:rPr>
                    <m:t>DA</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F9C60E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727DF8" w14:textId="3DBFF921" w:rsidR="0061392C" w:rsidRPr="009D7789" w:rsidRDefault="000E1922" w:rsidP="009D7789">
      <w:pPr>
        <w:pStyle w:val="a3"/>
        <w:ind w:leftChars="0" w:left="992"/>
        <w:rPr>
          <w:rFonts w:ascii="Times New Roman" w:hAnsi="Times New Roman" w:cs="Times New Roman" w:hint="eastAsia"/>
        </w:rPr>
      </w:pPr>
      <w:r>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Pr="000E1922">
        <w:rPr>
          <w:rFonts w:ascii="Times New Roman" w:hAnsi="Times New Roman" w:cs="Times New Roman"/>
        </w:rPr>
        <w:t>In our study, we explore the relationship between Robotic Process Automation (RPA) implementation and earnings management, leveraging a set of control variables</w:t>
      </w:r>
      <w:r>
        <w:rPr>
          <w:rFonts w:ascii="Times New Roman" w:hAnsi="Times New Roman" w:cs="Times New Roman"/>
        </w:rPr>
        <w:t xml:space="preserve"> (CVs)</w:t>
      </w:r>
      <w:r w:rsidRPr="000E1922">
        <w:rPr>
          <w:rFonts w:ascii="Times New Roman" w:hAnsi="Times New Roman" w:cs="Times New Roman"/>
        </w:rPr>
        <w:t xml:space="preserve"> to isolate the effects of various firm-specific and market factors. Leverage (LEV) and Market-to-Book Ratio (MTB) control for financial structure and growth opportunities, given their known association with discretionary accruals (DeFond and Jiambalvo, 1994; Becker et al., 1998; Zhou and Elder, 2002). Operating Cash Flows (OCF), included based on Becker et al. (1998), aims to account for the influence of a firm's liquidity on earnings management practices. We also incorporate a Time-Trend (TREND) variable, as per Canina et al. (2003) and Brazel and Dang (2008), to adjust for temporal economic changes, and Firm Size (LGTA), to control for size effects, acknowledging the potential correlation between the scale of operations and earnings management activities.</w:t>
      </w:r>
      <w:r>
        <w:rPr>
          <w:rFonts w:ascii="Times New Roman" w:hAnsi="Times New Roman" w:cs="Times New Roman"/>
        </w:rPr>
        <w:br/>
      </w:r>
      <w:r>
        <w:rPr>
          <w:rFonts w:ascii="Times New Roman" w:hAnsi="Times New Roman" w:cs="Times New Roman"/>
        </w:rPr>
        <w:br/>
      </w:r>
      <w:r w:rsidRPr="000E1922">
        <w:rPr>
          <w:rFonts w:ascii="Times New Roman" w:hAnsi="Times New Roman" w:cs="Times New Roman"/>
        </w:rPr>
        <w:t xml:space="preserve">Further, the model includes Industry-adjusted ROA (ADJROA) and the BIG4 Audit Firm Indicator (BIG4) to address financial performance and audit quality's impact on earnings </w:t>
      </w:r>
      <w:r w:rsidRPr="000E1922">
        <w:rPr>
          <w:rFonts w:ascii="Times New Roman" w:hAnsi="Times New Roman" w:cs="Times New Roman"/>
        </w:rPr>
        <w:lastRenderedPageBreak/>
        <w:t xml:space="preserve">management. R&amp;D Intensity (RD) and </w:t>
      </w:r>
      <w:r>
        <w:rPr>
          <w:rFonts w:ascii="Times New Roman" w:hAnsi="Times New Roman" w:cs="Times New Roman"/>
        </w:rPr>
        <w:t>a</w:t>
      </w:r>
      <w:r w:rsidRPr="000E1922">
        <w:rPr>
          <w:rFonts w:ascii="Times New Roman" w:hAnsi="Times New Roman" w:cs="Times New Roman"/>
        </w:rPr>
        <w:t xml:space="preserve">dvertising </w:t>
      </w:r>
      <w:r>
        <w:rPr>
          <w:rFonts w:ascii="Times New Roman" w:hAnsi="Times New Roman" w:cs="Times New Roman"/>
        </w:rPr>
        <w:t>i</w:t>
      </w:r>
      <w:r w:rsidRPr="000E1922">
        <w:rPr>
          <w:rFonts w:ascii="Times New Roman" w:hAnsi="Times New Roman" w:cs="Times New Roman"/>
        </w:rPr>
        <w:t>ntensity (A</w:t>
      </w:r>
      <w:r>
        <w:rPr>
          <w:rFonts w:ascii="Times New Roman" w:hAnsi="Times New Roman" w:cs="Times New Roman" w:hint="eastAsia"/>
        </w:rPr>
        <w:t>D</w:t>
      </w:r>
      <w:r w:rsidRPr="000E1922">
        <w:rPr>
          <w:rFonts w:ascii="Times New Roman" w:hAnsi="Times New Roman" w:cs="Times New Roman"/>
        </w:rPr>
        <w:t>) are considered to reflect the company's investment in innovation and marketing, which are indicative of a firm's strategic approach to CSR/ESG and its potential influence on financial reporting (Kim et al., 2012; McWilliams and Siegel, 2000; Tanveer et al., 2022). Lastly, Going Concern (GC), following Bulter et al. (2004), is used to assess the effect of financial distress on earnings management. Through this comprehensive set of CVs, our analysis aims to provide a detailed understanding of how RPA implementation may affect earnings management, factoring in a broad spectrum of influencing elements.</w:t>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1C772462" w14:textId="5A557B75"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M &amp; RM estimates (Insert regression results)</w:t>
      </w:r>
      <w:r w:rsidR="00CD4C7D">
        <w:rPr>
          <w:rFonts w:ascii="Times New Roman" w:hAnsi="Times New Roman" w:cs="Times New Roman"/>
        </w:rPr>
        <w:t xml:space="preserve"> (</w:t>
      </w:r>
      <w:r w:rsidR="00CD4C7D">
        <w:rPr>
          <w:rFonts w:ascii="Times New Roman" w:hAnsi="Times New Roman" w:cs="Times New Roman" w:hint="eastAsia"/>
        </w:rPr>
        <w:t>如果沒事先擺的話，這裡放會很奇怪</w:t>
      </w:r>
      <w:r w:rsidR="00CD4C7D">
        <w:rPr>
          <w:rFonts w:ascii="Times New Roman" w:hAnsi="Times New Roman" w:cs="Times New Roman"/>
        </w:rPr>
        <w:t>)</w:t>
      </w:r>
    </w:p>
    <w:p w14:paraId="0F1EBBAE" w14:textId="42600BB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p>
    <w:p w14:paraId="3B0D0599" w14:textId="6354C309" w:rsidR="00480612" w:rsidRDefault="00480612" w:rsidP="009D7789">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p>
    <w:p w14:paraId="1CADFF0C" w14:textId="20D5F383" w:rsidR="00480612" w:rsidRPr="00480612" w:rsidRDefault="00480612" w:rsidP="00480612">
      <w:pPr>
        <w:pStyle w:val="a3"/>
        <w:numPr>
          <w:ilvl w:val="1"/>
          <w:numId w:val="2"/>
        </w:numPr>
        <w:ind w:leftChars="0"/>
        <w:rPr>
          <w:rFonts w:ascii="Times New Roman" w:hAnsi="Times New Roman" w:cs="Times New Roman" w:hint="eastAsia"/>
        </w:rPr>
      </w:pPr>
      <w:r>
        <w:rPr>
          <w:rFonts w:ascii="Times New Roman" w:hAnsi="Times New Roman" w:cs="Times New Roman"/>
        </w:rPr>
        <w:t xml:space="preserve">The relation between RPA implementation and </w:t>
      </w:r>
      <w:r>
        <w:rPr>
          <w:rFonts w:ascii="Times New Roman" w:hAnsi="Times New Roman" w:cs="Times New Roman"/>
        </w:rPr>
        <w:t>Real activities manipulation</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6619D6B5"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Propensity Score matching samples.</w:t>
      </w:r>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 Insert match pairs </w:t>
      </w:r>
      <w:r>
        <w:rPr>
          <w:rFonts w:ascii="Times New Roman" w:hAnsi="Times New Roman" w:cs="Times New Roman" w:hint="eastAsia"/>
        </w:rPr>
        <w:t>RPA0</w:t>
      </w:r>
      <w:r>
        <w:rPr>
          <w:rFonts w:ascii="Times New Roman" w:hAnsi="Times New Roman" w:cs="Times New Roman"/>
        </w:rPr>
        <w:t>/1 versus</w:t>
      </w:r>
      <w:r>
        <w:rPr>
          <w:rFonts w:ascii="Times New Roman" w:hAnsi="Times New Roman" w:cs="Times New Roman"/>
        </w:rPr>
        <w:t>)</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hint="eastAsia"/>
        </w:rPr>
      </w:pPr>
      <w:r>
        <w:rPr>
          <w:rFonts w:ascii="Times New Roman" w:hAnsi="Times New Roman" w:cs="Times New Roman"/>
        </w:rPr>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XD </w:t>
      </w:r>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D643D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727A7"/>
    <w:rsid w:val="000B162C"/>
    <w:rsid w:val="000E1922"/>
    <w:rsid w:val="001223ED"/>
    <w:rsid w:val="001F2099"/>
    <w:rsid w:val="002271A6"/>
    <w:rsid w:val="00233A1E"/>
    <w:rsid w:val="002B2449"/>
    <w:rsid w:val="00323772"/>
    <w:rsid w:val="004713A0"/>
    <w:rsid w:val="00480612"/>
    <w:rsid w:val="004E51A8"/>
    <w:rsid w:val="005E7A1B"/>
    <w:rsid w:val="00612B45"/>
    <w:rsid w:val="0061392C"/>
    <w:rsid w:val="007B0AC2"/>
    <w:rsid w:val="00917690"/>
    <w:rsid w:val="00943C25"/>
    <w:rsid w:val="0097495A"/>
    <w:rsid w:val="009B09BF"/>
    <w:rsid w:val="009D4230"/>
    <w:rsid w:val="009D7789"/>
    <w:rsid w:val="00AD4461"/>
    <w:rsid w:val="00AF0B0B"/>
    <w:rsid w:val="00B12225"/>
    <w:rsid w:val="00B15758"/>
    <w:rsid w:val="00B85057"/>
    <w:rsid w:val="00BF331D"/>
    <w:rsid w:val="00C632E3"/>
    <w:rsid w:val="00CD4C7D"/>
    <w:rsid w:val="00CF6713"/>
    <w:rsid w:val="00D643D0"/>
    <w:rsid w:val="00E05379"/>
    <w:rsid w:val="00E1720D"/>
    <w:rsid w:val="00EF7D0E"/>
    <w:rsid w:val="00F55669"/>
    <w:rsid w:val="00F91965"/>
    <w:rsid w:val="00FB6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cp:revision>
  <dcterms:created xsi:type="dcterms:W3CDTF">2024-02-06T12:28:00Z</dcterms:created>
  <dcterms:modified xsi:type="dcterms:W3CDTF">2024-02-07T15:12:00Z</dcterms:modified>
</cp:coreProperties>
</file>