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Jank的原因：</w:t>
      </w:r>
      <w:r>
        <w:rPr>
          <w:rFonts w:hint="eastAsia"/>
        </w:rPr>
        <w:t xml:space="preserve">The reason for poor responsiveness is well known: the main thread of an Android application is the one that processes UI events, and this thread should not perform heavy computations or long-wait operations in response to user events. Typical examples of such heavyweight processing are network operations, database operations, file I/O, and bitmap processing; in the Google developer community, they are colloquially referred to as “jank”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针对如下几种情况进行测试：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Network Access</w:t>
      </w:r>
      <w:r>
        <w:rPr>
          <w:rFonts w:hint="eastAsia"/>
          <w:lang w:eastAsia="zh-CN"/>
        </w:rPr>
        <w:t>；</w:t>
      </w:r>
      <w:r>
        <w:rPr>
          <w:rFonts w:hint="eastAsia"/>
        </w:rPr>
        <w:t xml:space="preserve">Flash Storage Access </w:t>
      </w:r>
      <w:r>
        <w:rPr>
          <w:rFonts w:hint="eastAsia"/>
          <w:lang w:eastAsia="zh-CN"/>
        </w:rPr>
        <w:t>；</w:t>
      </w:r>
      <w:r>
        <w:rPr>
          <w:rFonts w:hint="eastAsia"/>
        </w:rPr>
        <w:t xml:space="preserve">Database Access </w:t>
      </w:r>
      <w:r>
        <w:rPr>
          <w:rFonts w:hint="eastAsia"/>
          <w:lang w:eastAsia="zh-CN"/>
        </w:rPr>
        <w:t>；</w:t>
      </w:r>
      <w:r>
        <w:rPr>
          <w:rFonts w:hint="eastAsia"/>
        </w:rPr>
        <w:t xml:space="preserve">Bitmap Processing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测试放大的方法：</w:t>
      </w:r>
      <w:r>
        <w:rPr>
          <w:rFonts w:hint="eastAsia"/>
        </w:rPr>
        <w:t>These tests are then re-executed in a modified environment in which artificial long delays are inserted at typical sources of jank (e.g., around code that accesses the network). This approach, referred to as test amplification</w:t>
      </w:r>
      <w:r>
        <w:rPr>
          <w:rFonts w:hint="eastAsia"/>
          <w:lang w:val="en-US" w:eastAsia="zh-CN"/>
        </w:rPr>
        <w:t>(扩大)</w:t>
      </w:r>
      <w:r>
        <w:rPr>
          <w:rFonts w:hint="eastAsia"/>
        </w:rPr>
        <w:t>, may exhibit increased response times when certain GUI transitions are traversed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建立GUI 模型：we currently use AndroidRipper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已知源码</w:t>
      </w:r>
      <w:r>
        <w:rPr>
          <w:rFonts w:hint="eastAsia"/>
          <w:lang w:val="en-US" w:eastAsia="zh-CN"/>
        </w:rPr>
        <w:t>：Our implementation of the amplification uses AspectJ to</w:t>
      </w:r>
      <w:r>
        <w:rPr>
          <w:rFonts w:hint="eastAsia"/>
          <w:lang w:val="en-US" w:eastAsia="zh-CN"/>
        </w:rPr>
        <w:t xml:space="preserve"> instrument the application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未知源码：The approach can also be applied to programs for which</w:t>
      </w:r>
      <w:r>
        <w:rPr>
          <w:rFonts w:hint="eastAsia"/>
          <w:lang w:val="en-US" w:eastAsia="zh-CN"/>
        </w:rPr>
        <w:t xml:space="preserve"> source code is not available, either by instrumenting the</w:t>
      </w:r>
      <w:r>
        <w:rPr>
          <w:rFonts w:hint="eastAsia"/>
          <w:lang w:val="en-US" w:eastAsia="zh-CN"/>
        </w:rPr>
        <w:t xml:space="preserve"> Android-specific Dalvik VM</w:t>
      </w:r>
      <w:r>
        <w:rPr>
          <w:rFonts w:hint="eastAsia"/>
          <w:lang w:val="en-US" w:eastAsia="zh-CN"/>
        </w:rPr>
        <w:t xml:space="preserve"> bytecode directly, or</w:t>
      </w:r>
      <w:r>
        <w:rPr>
          <w:rFonts w:hint="eastAsia"/>
          <w:lang w:val="en-US" w:eastAsia="zh-CN"/>
        </w:rPr>
        <w:t xml:space="preserve"> converting Dalvik bytecode back to Java bytecode and</w:t>
      </w:r>
      <w:r>
        <w:rPr>
          <w:rFonts w:hint="eastAsia"/>
          <w:lang w:val="en-US" w:eastAsia="zh-CN"/>
        </w:rPr>
        <w:t xml:space="preserve"> using existing bytecode rewriting tools（插入Android特定的Dalvik VM字节码或将Dalvik字节码转换回Java字节码并使用现有的字节码重写工具）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测试流程：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Instrumentation is added immediately before each of 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API calls described earlier.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Each instrumented call site c is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given a unique ID.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Immediately before test cases are executed,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 particular call site ID is activated</w:t>
      </w:r>
      <w:r>
        <w:rPr>
          <w:rFonts w:hint="eastAsia"/>
          <w:lang w:val="en-US" w:eastAsia="zh-CN"/>
        </w:rPr>
        <w:t>(激活)</w:t>
      </w:r>
      <w:r>
        <w:rPr>
          <w:rFonts w:hint="eastAsia"/>
        </w:rPr>
        <w:t xml:space="preserve"> (the rest of the IDs remain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inactive).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 During test execution, the instrumentation at 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activated call site c introduces a configurable delay</w:t>
      </w:r>
      <w:r>
        <w:rPr>
          <w:rFonts w:hint="eastAsia"/>
          <w:lang w:val="en-US" w:eastAsia="zh-CN"/>
        </w:rPr>
        <w:t>(插入延迟代码)</w:t>
      </w:r>
      <w:r>
        <w:rPr>
          <w:rFonts w:hint="eastAsia"/>
        </w:rPr>
        <w:t xml:space="preserve"> to 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execution of the current thread.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 The duration of the delay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can be varied from run to run, and the GUI event response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times can be used to quantify the effect on responsiveness.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cases where the goal is simply to trigger an ANR error for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c, we introduce a delay of 10 seconds at c, run all test cases,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determine whether at least one fails with an ANR error.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Such failures can be detected automatically by considering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contents of an ANR log file maintained by the Android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platform.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r>
        <w:drawing>
          <wp:inline distT="0" distB="0" distL="114300" distR="114300">
            <wp:extent cx="5266055" cy="1238885"/>
            <wp:effectExtent l="0" t="0" r="1079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It is interesting to note the developers of these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applications appear to be quite careful in their handling 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network operations: since such operations are widely-known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to be harmful to responsiveness, developers do not include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them in the UI thread (only one ANR-triggering operation was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related to the network). The other sources of jank are more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prevalent, with database accesses being the most common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ones 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B9F0"/>
    <w:multiLevelType w:val="singleLevel"/>
    <w:tmpl w:val="58CBB9F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55923"/>
    <w:rsid w:val="744559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NimbusRomNo9L-Regu" w:hAnsi="NimbusRomNo9L-Regu" w:eastAsia="NimbusRomNo9L-Regu" w:cs="NimbusRomNo9L-Regu"/>
      <w:color w:val="000000"/>
      <w:sz w:val="20"/>
      <w:szCs w:val="20"/>
    </w:rPr>
  </w:style>
  <w:style w:type="character" w:customStyle="1" w:styleId="5">
    <w:name w:val="fontstyle21"/>
    <w:basedOn w:val="2"/>
    <w:uiPriority w:val="0"/>
    <w:rPr>
      <w:rFonts w:ascii="CMMI10" w:hAnsi="CMMI10" w:eastAsia="CMMI10" w:cs="CMMI10"/>
      <w:i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2017-03-17T06:38:00Z</dcterms:created>
  <dc:creator>os</dc:creator>
  <cp:lastModifiedBy>os</cp:lastModifiedBy>
  <dcterms:modified xsi:type="dcterms:W3CDTF">2017-03-17T10:34:42Z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