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9507C">
      <w:pPr>
        <w:spacing w:line="520" w:lineRule="exact"/>
        <w:rPr>
          <w:rFonts w:ascii="黑体" w:eastAsia="黑体"/>
          <w:bCs/>
          <w:kern w:val="0"/>
          <w:sz w:val="48"/>
          <w:szCs w:val="48"/>
        </w:rPr>
      </w:pPr>
      <w:r>
        <w:rPr>
          <w:rFonts w:ascii="黑体" w:eastAsia="黑体"/>
          <w:sz w:val="44"/>
          <w:szCs w:val="44"/>
        </w:rPr>
        <w:drawing>
          <wp:anchor distT="0" distB="0" distL="114300" distR="114300" simplePos="0" relativeHeight="251659264" behindDoc="0" locked="0" layoutInCell="1" allowOverlap="1">
            <wp:simplePos x="0" y="0"/>
            <wp:positionH relativeFrom="margin">
              <wp:posOffset>822325</wp:posOffset>
            </wp:positionH>
            <wp:positionV relativeFrom="paragraph">
              <wp:posOffset>243840</wp:posOffset>
            </wp:positionV>
            <wp:extent cx="3629025" cy="554355"/>
            <wp:effectExtent l="0" t="0" r="0" b="6985"/>
            <wp:wrapTopAndBottom/>
            <wp:docPr id="1" name="图片 1" descr="C:/Users/1/Desktop/个人工作室/Image_1766979465071.pngImage_176697946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1/Desktop/个人工作室/Image_1766979465071.pngImage_1766979465071"/>
                    <pic:cNvPicPr>
                      <a:picLocks noChangeAspect="1" noChangeArrowheads="1"/>
                    </pic:cNvPicPr>
                  </pic:nvPicPr>
                  <pic:blipFill>
                    <a:blip r:embed="rId4"/>
                    <a:srcRect t="8233" b="8233"/>
                    <a:stretch>
                      <a:fillRect/>
                    </a:stretch>
                  </pic:blipFill>
                  <pic:spPr>
                    <a:xfrm>
                      <a:off x="0" y="0"/>
                      <a:ext cx="3629025" cy="554400"/>
                    </a:xfrm>
                    <a:prstGeom prst="rect">
                      <a:avLst/>
                    </a:prstGeom>
                    <a:noFill/>
                    <a:ln>
                      <a:noFill/>
                    </a:ln>
                  </pic:spPr>
                </pic:pic>
              </a:graphicData>
            </a:graphic>
          </wp:anchor>
        </w:drawing>
      </w:r>
      <w:r>
        <w:rPr>
          <w:rFonts w:hint="eastAsia" w:ascii="黑体" w:eastAsia="黑体"/>
          <w:bCs/>
          <w:kern w:val="0"/>
          <w:sz w:val="48"/>
          <w:szCs w:val="48"/>
        </w:rPr>
        <w:t xml:space="preserve">       </w:t>
      </w:r>
    </w:p>
    <w:p w14:paraId="56C155E6">
      <w:pPr>
        <w:jc w:val="center"/>
        <w:rPr>
          <w:rFonts w:ascii="黑体" w:eastAsia="黑体"/>
          <w:bCs/>
          <w:kern w:val="0"/>
          <w:sz w:val="52"/>
          <w:szCs w:val="52"/>
        </w:rPr>
      </w:pPr>
      <w:r>
        <w:rPr>
          <w:rFonts w:hint="eastAsia" w:ascii="黑体" w:eastAsia="黑体"/>
          <w:bCs/>
          <w:kern w:val="0"/>
          <w:sz w:val="52"/>
          <w:szCs w:val="52"/>
        </w:rPr>
        <w:t>毕业设计开题报告</w:t>
      </w:r>
    </w:p>
    <w:tbl>
      <w:tblPr>
        <w:tblStyle w:val="11"/>
        <w:tblW w:w="8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6096"/>
      </w:tblGrid>
      <w:tr w14:paraId="3A8E0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1" w:hRule="atLeast"/>
          <w:jc w:val="center"/>
        </w:trPr>
        <w:tc>
          <w:tcPr>
            <w:tcW w:w="2263" w:type="dxa"/>
            <w:vAlign w:val="center"/>
          </w:tcPr>
          <w:p w14:paraId="485781E9">
            <w:pPr>
              <w:jc w:val="center"/>
              <w:rPr>
                <w:rFonts w:ascii="黑体" w:hAnsi="黑体" w:eastAsia="黑体"/>
                <w:sz w:val="44"/>
                <w:szCs w:val="44"/>
                <w:u w:val="single"/>
              </w:rPr>
            </w:pPr>
            <w:r>
              <w:rPr>
                <w:rFonts w:hint="eastAsia" w:ascii="黑体" w:hAnsi="黑体" w:eastAsia="黑体"/>
                <w:sz w:val="44"/>
                <w:szCs w:val="44"/>
              </w:rPr>
              <w:t>题   目</w:t>
            </w:r>
          </w:p>
        </w:tc>
        <w:tc>
          <w:tcPr>
            <w:tcW w:w="6096" w:type="dxa"/>
            <w:vAlign w:val="center"/>
          </w:tcPr>
          <w:p w14:paraId="7D018D3E">
            <w:pPr>
              <w:ind w:left="880" w:hanging="880" w:hangingChars="200"/>
              <w:jc w:val="center"/>
              <w:rPr>
                <w:rFonts w:hint="default" w:ascii="黑体" w:hAnsi="黑体" w:eastAsia="黑体"/>
                <w:sz w:val="44"/>
                <w:szCs w:val="44"/>
                <w:u w:val="single"/>
                <w:lang w:val="en-US" w:eastAsia="zh-CN"/>
              </w:rPr>
            </w:pPr>
            <w:r>
              <w:rPr>
                <w:rFonts w:hint="eastAsia" w:ascii="黑体" w:hAnsi="黑体" w:eastAsia="黑体"/>
                <w:sz w:val="44"/>
                <w:szCs w:val="44"/>
                <w:u w:val="single"/>
                <w:lang w:val="en-US" w:eastAsia="zh-CN"/>
              </w:rPr>
              <w:t>基于</w:t>
            </w:r>
            <w:r>
              <w:rPr>
                <w:rFonts w:hint="eastAsia" w:ascii="Times New Roman" w:hAnsi="Times New Roman" w:eastAsia="黑体"/>
                <w:sz w:val="44"/>
                <w:szCs w:val="44"/>
                <w:u w:val="single"/>
                <w:lang w:val="en-US" w:eastAsia="zh-CN"/>
              </w:rPr>
              <w:t>Web</w:t>
            </w:r>
            <w:r>
              <w:rPr>
                <w:rFonts w:hint="eastAsia" w:ascii="黑体" w:hAnsi="黑体" w:eastAsia="黑体"/>
                <w:sz w:val="44"/>
                <w:szCs w:val="44"/>
                <w:u w:val="single"/>
                <w:lang w:val="en-US" w:eastAsia="zh-CN"/>
              </w:rPr>
              <w:t>的个人工作室</w:t>
            </w:r>
          </w:p>
          <w:p w14:paraId="601FAF1E">
            <w:pPr>
              <w:ind w:left="880" w:hanging="880" w:hangingChars="200"/>
              <w:jc w:val="center"/>
              <w:rPr>
                <w:rFonts w:hint="default" w:ascii="黑体" w:hAnsi="黑体" w:eastAsia="黑体"/>
                <w:sz w:val="44"/>
                <w:szCs w:val="44"/>
                <w:u w:val="single"/>
                <w:lang w:val="en-US" w:eastAsia="zh-CN"/>
              </w:rPr>
            </w:pPr>
            <w:r>
              <w:rPr>
                <w:rFonts w:hint="eastAsia" w:ascii="黑体" w:hAnsi="黑体" w:eastAsia="黑体"/>
                <w:sz w:val="44"/>
                <w:szCs w:val="44"/>
                <w:u w:val="single"/>
                <w:lang w:val="en-US" w:eastAsia="zh-CN"/>
              </w:rPr>
              <w:t>预约服务平台的设计与实现</w:t>
            </w:r>
          </w:p>
        </w:tc>
      </w:tr>
    </w:tbl>
    <w:tbl>
      <w:tblPr>
        <w:tblStyle w:val="10"/>
        <w:tblW w:w="807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01"/>
        <w:gridCol w:w="6374"/>
      </w:tblGrid>
      <w:tr w14:paraId="17F926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76762B55">
            <w:pPr>
              <w:wordWrap w:val="0"/>
              <w:ind w:left="-60"/>
              <w:jc w:val="right"/>
              <w:rPr>
                <w:rFonts w:ascii="黑体" w:hAnsi="黑体" w:eastAsia="黑体"/>
                <w:sz w:val="30"/>
                <w:szCs w:val="30"/>
              </w:rPr>
            </w:pPr>
            <w:r>
              <w:rPr>
                <w:rFonts w:hint="eastAsia" w:ascii="黑体" w:hAnsi="黑体" w:eastAsia="黑体"/>
                <w:sz w:val="30"/>
                <w:szCs w:val="30"/>
              </w:rPr>
              <w:t>学生姓名：</w:t>
            </w:r>
          </w:p>
        </w:tc>
        <w:tc>
          <w:tcPr>
            <w:tcW w:w="6374" w:type="dxa"/>
            <w:tcBorders>
              <w:top w:val="nil"/>
              <w:left w:val="nil"/>
              <w:bottom w:val="single" w:color="auto" w:sz="12" w:space="0"/>
              <w:right w:val="nil"/>
            </w:tcBorders>
            <w:vAlign w:val="center"/>
          </w:tcPr>
          <w:p w14:paraId="2E6947ED">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吴军政</w:t>
            </w:r>
          </w:p>
        </w:tc>
      </w:tr>
      <w:tr w14:paraId="7D1B40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4C3CD584">
            <w:pPr>
              <w:wordWrap w:val="0"/>
              <w:ind w:left="-60"/>
              <w:jc w:val="right"/>
              <w:rPr>
                <w:rFonts w:ascii="黑体" w:hAnsi="黑体" w:eastAsia="黑体"/>
                <w:sz w:val="30"/>
                <w:szCs w:val="30"/>
              </w:rPr>
            </w:pPr>
            <w:r>
              <w:rPr>
                <w:rFonts w:hint="eastAsia" w:ascii="黑体" w:hAnsi="黑体" w:eastAsia="黑体"/>
                <w:sz w:val="30"/>
                <w:szCs w:val="30"/>
              </w:rPr>
              <w:t>学    号：</w:t>
            </w:r>
          </w:p>
        </w:tc>
        <w:tc>
          <w:tcPr>
            <w:tcW w:w="6374" w:type="dxa"/>
            <w:tcBorders>
              <w:top w:val="nil"/>
              <w:left w:val="nil"/>
              <w:bottom w:val="single" w:color="auto" w:sz="12" w:space="0"/>
              <w:right w:val="nil"/>
            </w:tcBorders>
            <w:vAlign w:val="center"/>
          </w:tcPr>
          <w:p w14:paraId="54D7FD3F">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2205221119</w:t>
            </w:r>
          </w:p>
        </w:tc>
      </w:tr>
      <w:tr w14:paraId="2A32E1F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1999015B">
            <w:pPr>
              <w:ind w:left="-60"/>
              <w:jc w:val="right"/>
              <w:rPr>
                <w:rFonts w:ascii="黑体" w:hAnsi="黑体" w:eastAsia="黑体"/>
                <w:sz w:val="30"/>
                <w:szCs w:val="30"/>
              </w:rPr>
            </w:pPr>
            <w:r>
              <w:rPr>
                <w:rFonts w:hint="eastAsia" w:ascii="黑体" w:hAnsi="黑体" w:eastAsia="黑体"/>
                <w:sz w:val="30"/>
                <w:szCs w:val="30"/>
              </w:rPr>
              <w:t>学    院：</w:t>
            </w:r>
          </w:p>
        </w:tc>
        <w:tc>
          <w:tcPr>
            <w:tcW w:w="6374" w:type="dxa"/>
            <w:tcBorders>
              <w:top w:val="single" w:color="auto" w:sz="12" w:space="0"/>
              <w:left w:val="nil"/>
              <w:bottom w:val="single" w:color="auto" w:sz="12" w:space="0"/>
              <w:right w:val="nil"/>
            </w:tcBorders>
            <w:vAlign w:val="center"/>
          </w:tcPr>
          <w:p w14:paraId="1DD5B2A3">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计算机与软件</w:t>
            </w:r>
          </w:p>
        </w:tc>
      </w:tr>
      <w:tr w14:paraId="351DE81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7D14B1C0">
            <w:pPr>
              <w:ind w:left="-60"/>
              <w:jc w:val="right"/>
              <w:rPr>
                <w:rFonts w:ascii="黑体" w:hAnsi="黑体" w:eastAsia="黑体"/>
                <w:bCs/>
                <w:sz w:val="30"/>
                <w:szCs w:val="30"/>
              </w:rPr>
            </w:pPr>
            <w:r>
              <w:rPr>
                <w:rFonts w:hint="eastAsia" w:ascii="黑体" w:hAnsi="黑体" w:eastAsia="黑体"/>
                <w:bCs/>
                <w:sz w:val="30"/>
                <w:szCs w:val="30"/>
              </w:rPr>
              <w:t>专    业</w:t>
            </w:r>
            <w:r>
              <w:rPr>
                <w:rFonts w:hint="eastAsia" w:ascii="黑体" w:hAnsi="黑体" w:eastAsia="黑体"/>
                <w:sz w:val="30"/>
                <w:szCs w:val="30"/>
              </w:rPr>
              <w:t>：</w:t>
            </w:r>
          </w:p>
        </w:tc>
        <w:tc>
          <w:tcPr>
            <w:tcW w:w="6374" w:type="dxa"/>
            <w:tcBorders>
              <w:top w:val="single" w:color="auto" w:sz="12" w:space="0"/>
              <w:left w:val="nil"/>
              <w:bottom w:val="single" w:color="auto" w:sz="12" w:space="0"/>
              <w:right w:val="nil"/>
            </w:tcBorders>
            <w:vAlign w:val="center"/>
          </w:tcPr>
          <w:p w14:paraId="1DF402D8">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软件工程技术</w:t>
            </w:r>
          </w:p>
        </w:tc>
      </w:tr>
      <w:tr w14:paraId="6FA3139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575EA3F5">
            <w:pPr>
              <w:ind w:left="-60"/>
              <w:jc w:val="right"/>
              <w:rPr>
                <w:rFonts w:ascii="黑体" w:hAnsi="黑体" w:eastAsia="黑体"/>
                <w:bCs/>
                <w:sz w:val="30"/>
                <w:szCs w:val="30"/>
              </w:rPr>
            </w:pPr>
            <w:r>
              <w:rPr>
                <w:rFonts w:hint="eastAsia" w:ascii="黑体" w:hAnsi="黑体" w:eastAsia="黑体"/>
                <w:bCs/>
                <w:sz w:val="30"/>
                <w:szCs w:val="30"/>
              </w:rPr>
              <w:t>班    级：</w:t>
            </w:r>
          </w:p>
        </w:tc>
        <w:tc>
          <w:tcPr>
            <w:tcW w:w="6374" w:type="dxa"/>
            <w:tcBorders>
              <w:top w:val="single" w:color="auto" w:sz="12" w:space="0"/>
              <w:left w:val="nil"/>
              <w:bottom w:val="single" w:color="auto" w:sz="12" w:space="0"/>
              <w:right w:val="nil"/>
            </w:tcBorders>
            <w:vAlign w:val="center"/>
          </w:tcPr>
          <w:p w14:paraId="64C4DEC5">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软件2211</w:t>
            </w:r>
          </w:p>
        </w:tc>
      </w:tr>
      <w:tr w14:paraId="24A7ACD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5E328002">
            <w:pPr>
              <w:ind w:left="-60"/>
              <w:jc w:val="right"/>
              <w:rPr>
                <w:rFonts w:ascii="黑体" w:hAnsi="黑体" w:eastAsia="黑体"/>
                <w:bCs/>
                <w:sz w:val="30"/>
                <w:szCs w:val="30"/>
              </w:rPr>
            </w:pPr>
            <w:r>
              <w:rPr>
                <w:rFonts w:hint="eastAsia" w:ascii="黑体" w:hAnsi="黑体" w:eastAsia="黑体"/>
                <w:bCs/>
                <w:sz w:val="30"/>
                <w:szCs w:val="30"/>
              </w:rPr>
              <w:t>指导教师：</w:t>
            </w:r>
          </w:p>
        </w:tc>
        <w:tc>
          <w:tcPr>
            <w:tcW w:w="6374" w:type="dxa"/>
            <w:tcBorders>
              <w:top w:val="single" w:color="auto" w:sz="12" w:space="0"/>
              <w:left w:val="nil"/>
              <w:bottom w:val="single" w:color="auto" w:sz="12" w:space="0"/>
              <w:right w:val="nil"/>
            </w:tcBorders>
            <w:vAlign w:val="center"/>
          </w:tcPr>
          <w:p w14:paraId="5265C0F1">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郭雷</w:t>
            </w:r>
          </w:p>
        </w:tc>
      </w:tr>
      <w:tr w14:paraId="044FAFB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0DA189F5">
            <w:pPr>
              <w:ind w:left="-60"/>
              <w:jc w:val="center"/>
              <w:rPr>
                <w:rFonts w:hint="default" w:ascii="黑体" w:hAnsi="黑体" w:eastAsia="黑体"/>
                <w:bCs/>
                <w:sz w:val="30"/>
                <w:szCs w:val="30"/>
                <w:lang w:val="en-US" w:eastAsia="zh-CN"/>
              </w:rPr>
            </w:pPr>
            <w:r>
              <w:rPr>
                <w:rFonts w:hint="eastAsia" w:ascii="黑体" w:hAnsi="黑体" w:eastAsia="黑体"/>
                <w:bCs/>
                <w:sz w:val="30"/>
                <w:szCs w:val="30"/>
                <w:lang w:val="en-US" w:eastAsia="zh-CN"/>
              </w:rPr>
              <w:t>企业导师：</w:t>
            </w:r>
          </w:p>
        </w:tc>
        <w:tc>
          <w:tcPr>
            <w:tcW w:w="6374" w:type="dxa"/>
            <w:tcBorders>
              <w:top w:val="single" w:color="auto" w:sz="12" w:space="0"/>
              <w:left w:val="nil"/>
              <w:bottom w:val="single" w:color="auto" w:sz="12" w:space="0"/>
              <w:right w:val="nil"/>
            </w:tcBorders>
            <w:vAlign w:val="center"/>
          </w:tcPr>
          <w:p w14:paraId="3D5FD57B">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王燕</w:t>
            </w:r>
          </w:p>
        </w:tc>
      </w:tr>
      <w:tr w14:paraId="1B1DC3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4F9DFB3C">
            <w:pPr>
              <w:ind w:left="-60"/>
              <w:jc w:val="right"/>
              <w:rPr>
                <w:rFonts w:ascii="黑体" w:hAnsi="黑体" w:eastAsia="黑体"/>
                <w:bCs/>
                <w:sz w:val="30"/>
                <w:szCs w:val="30"/>
              </w:rPr>
            </w:pPr>
            <w:r>
              <w:rPr>
                <w:rFonts w:hint="eastAsia" w:ascii="黑体" w:hAnsi="黑体" w:eastAsia="黑体"/>
                <w:bCs/>
                <w:sz w:val="30"/>
                <w:szCs w:val="30"/>
              </w:rPr>
              <w:t>开题日期：</w:t>
            </w:r>
          </w:p>
        </w:tc>
        <w:tc>
          <w:tcPr>
            <w:tcW w:w="6374" w:type="dxa"/>
            <w:tcBorders>
              <w:top w:val="single" w:color="auto" w:sz="12" w:space="0"/>
              <w:left w:val="nil"/>
              <w:bottom w:val="single" w:color="auto" w:sz="12" w:space="0"/>
              <w:right w:val="nil"/>
            </w:tcBorders>
            <w:vAlign w:val="center"/>
          </w:tcPr>
          <w:p w14:paraId="7ABC0BCD">
            <w:pPr>
              <w:jc w:val="center"/>
              <w:rPr>
                <w:rFonts w:ascii="黑体" w:hAnsi="黑体" w:eastAsia="黑体"/>
                <w:sz w:val="28"/>
                <w:szCs w:val="28"/>
              </w:rPr>
            </w:pPr>
            <w:r>
              <w:rPr>
                <w:rFonts w:hint="eastAsia" w:ascii="黑体" w:hAnsi="黑体" w:eastAsia="黑体"/>
                <w:bCs/>
                <w:sz w:val="32"/>
              </w:rPr>
              <w:t>20</w:t>
            </w:r>
            <w:r>
              <w:rPr>
                <w:rFonts w:hint="eastAsia" w:ascii="黑体" w:hAnsi="黑体" w:eastAsia="黑体"/>
                <w:bCs/>
                <w:sz w:val="32"/>
                <w:lang w:val="en-US" w:eastAsia="zh-CN"/>
              </w:rPr>
              <w:t>25</w:t>
            </w:r>
            <w:r>
              <w:rPr>
                <w:rFonts w:ascii="黑体" w:hAnsi="黑体" w:eastAsia="黑体"/>
                <w:bCs/>
                <w:sz w:val="32"/>
              </w:rPr>
              <w:t xml:space="preserve"> </w:t>
            </w:r>
            <w:r>
              <w:rPr>
                <w:rFonts w:hint="eastAsia" w:ascii="黑体" w:hAnsi="黑体" w:eastAsia="黑体"/>
                <w:bCs/>
                <w:sz w:val="32"/>
              </w:rPr>
              <w:t>年</w:t>
            </w:r>
            <w:r>
              <w:rPr>
                <w:rFonts w:hint="eastAsia" w:ascii="黑体" w:hAnsi="黑体" w:eastAsia="黑体"/>
                <w:bCs/>
                <w:sz w:val="32"/>
                <w:lang w:val="en-US" w:eastAsia="zh-CN"/>
              </w:rPr>
              <w:t>12</w:t>
            </w:r>
            <w:r>
              <w:rPr>
                <w:rFonts w:hint="eastAsia" w:ascii="黑体" w:hAnsi="黑体" w:eastAsia="黑体"/>
                <w:bCs/>
                <w:sz w:val="32"/>
              </w:rPr>
              <w:t>月</w:t>
            </w:r>
            <w:r>
              <w:rPr>
                <w:rFonts w:hint="eastAsia" w:ascii="黑体" w:hAnsi="黑体" w:eastAsia="黑体"/>
                <w:bCs/>
                <w:sz w:val="32"/>
                <w:lang w:val="en-US" w:eastAsia="zh-CN"/>
              </w:rPr>
              <w:t>29</w:t>
            </w:r>
            <w:r>
              <w:rPr>
                <w:rFonts w:hint="eastAsia" w:ascii="黑体" w:hAnsi="黑体" w:eastAsia="黑体"/>
                <w:bCs/>
                <w:sz w:val="32"/>
              </w:rPr>
              <w:t>日</w:t>
            </w:r>
          </w:p>
        </w:tc>
      </w:tr>
      <w:tr w14:paraId="20F632A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60" w:hRule="atLeast"/>
          <w:jc w:val="center"/>
        </w:trPr>
        <w:tc>
          <w:tcPr>
            <w:tcW w:w="8075" w:type="dxa"/>
            <w:gridSpan w:val="2"/>
            <w:tcBorders>
              <w:top w:val="nil"/>
              <w:left w:val="nil"/>
              <w:bottom w:val="nil"/>
              <w:right w:val="nil"/>
            </w:tcBorders>
            <w:vAlign w:val="bottom"/>
          </w:tcPr>
          <w:p w14:paraId="5FF3A462">
            <w:pPr>
              <w:ind w:left="-60"/>
              <w:jc w:val="center"/>
              <w:rPr>
                <w:rFonts w:ascii="黑体" w:hAnsi="黑体" w:eastAsia="黑体"/>
                <w:bCs/>
                <w:sz w:val="32"/>
              </w:rPr>
            </w:pPr>
          </w:p>
        </w:tc>
      </w:tr>
    </w:tbl>
    <w:p w14:paraId="2EAEB453">
      <w:pPr>
        <w:widowControl/>
        <w:jc w:val="left"/>
        <w:rPr>
          <w:b/>
          <w:bCs/>
          <w:sz w:val="32"/>
          <w:szCs w:val="32"/>
        </w:rPr>
      </w:pPr>
    </w:p>
    <w:p w14:paraId="78374B60">
      <w:pPr>
        <w:pStyle w:val="6"/>
        <w:spacing w:line="240" w:lineRule="auto"/>
        <w:ind w:left="794" w:right="458" w:rightChars="218" w:firstLine="0" w:firstLineChars="0"/>
        <w:jc w:val="center"/>
        <w:rPr>
          <w:b/>
          <w:bCs/>
          <w:sz w:val="32"/>
          <w:szCs w:val="32"/>
        </w:rPr>
      </w:pPr>
    </w:p>
    <w:p w14:paraId="61253D68">
      <w:pPr>
        <w:pStyle w:val="6"/>
        <w:spacing w:line="240" w:lineRule="auto"/>
        <w:ind w:left="794" w:right="458" w:rightChars="218" w:firstLine="0" w:firstLineChars="0"/>
        <w:jc w:val="center"/>
        <w:rPr>
          <w:b/>
          <w:bCs/>
          <w:sz w:val="32"/>
          <w:szCs w:val="32"/>
        </w:rPr>
      </w:pPr>
      <w:r>
        <w:rPr>
          <w:rFonts w:hint="eastAsia"/>
          <w:b/>
          <w:bCs/>
          <w:sz w:val="32"/>
          <w:szCs w:val="32"/>
        </w:rPr>
        <w:t>填写说明</w:t>
      </w:r>
    </w:p>
    <w:p w14:paraId="6CB1A9A0">
      <w:pPr>
        <w:pStyle w:val="6"/>
        <w:spacing w:line="240" w:lineRule="auto"/>
        <w:ind w:left="794" w:right="458" w:rightChars="218" w:firstLine="570" w:firstLineChars="0"/>
        <w:rPr>
          <w:sz w:val="24"/>
        </w:rPr>
      </w:pPr>
    </w:p>
    <w:p w14:paraId="76C56013">
      <w:pPr>
        <w:pStyle w:val="6"/>
        <w:spacing w:line="240" w:lineRule="auto"/>
        <w:ind w:left="794" w:right="458" w:rightChars="218" w:firstLine="570" w:firstLineChars="0"/>
        <w:rPr>
          <w:sz w:val="24"/>
        </w:rPr>
      </w:pPr>
    </w:p>
    <w:p w14:paraId="2ED1BE94">
      <w:pPr>
        <w:pStyle w:val="6"/>
        <w:spacing w:line="360" w:lineRule="auto"/>
        <w:ind w:left="0" w:firstLine="573" w:firstLineChars="0"/>
        <w:rPr>
          <w:sz w:val="24"/>
        </w:rPr>
      </w:pPr>
      <w:r>
        <w:rPr>
          <w:rFonts w:hint="eastAsia"/>
          <w:sz w:val="24"/>
        </w:rPr>
        <w:t>1</w:t>
      </w:r>
      <w:r>
        <w:rPr>
          <w:sz w:val="24"/>
        </w:rPr>
        <w:t xml:space="preserve">. </w:t>
      </w:r>
      <w:r>
        <w:rPr>
          <w:rFonts w:hint="eastAsia"/>
          <w:sz w:val="24"/>
        </w:rPr>
        <w:t>开题报告是毕业设计（论文）答辩委员会对学生答辩资格审查的依据材料之一。学生应当在毕业设计（论文）工作前期内完成，开题报告不合格者不得参加答辩。</w:t>
      </w:r>
    </w:p>
    <w:p w14:paraId="5637A2DB">
      <w:pPr>
        <w:pStyle w:val="6"/>
        <w:spacing w:line="360" w:lineRule="auto"/>
        <w:ind w:left="0" w:firstLine="573" w:firstLineChars="0"/>
        <w:rPr>
          <w:sz w:val="24"/>
        </w:rPr>
      </w:pPr>
      <w:r>
        <w:rPr>
          <w:sz w:val="24"/>
        </w:rPr>
        <w:t xml:space="preserve">2. </w:t>
      </w:r>
      <w:r>
        <w:rPr>
          <w:rFonts w:hint="eastAsia"/>
          <w:sz w:val="24"/>
        </w:rPr>
        <w:t>本报告中，由学生本人撰写的对课题和研究工作的分析及描述，没有经过整理归纳，缺乏个人见解仅仅从网上下载材料拼凑而成的开题报告按不合格论。</w:t>
      </w:r>
    </w:p>
    <w:p w14:paraId="7BF3FFEB">
      <w:pPr>
        <w:pStyle w:val="6"/>
        <w:spacing w:line="360" w:lineRule="auto"/>
        <w:ind w:left="0" w:firstLine="573" w:firstLineChars="0"/>
        <w:rPr>
          <w:sz w:val="24"/>
        </w:rPr>
      </w:pPr>
      <w:r>
        <w:rPr>
          <w:sz w:val="24"/>
        </w:rPr>
        <w:t xml:space="preserve">3. </w:t>
      </w:r>
      <w:r>
        <w:rPr>
          <w:rFonts w:hint="eastAsia"/>
          <w:sz w:val="24"/>
        </w:rPr>
        <w:t>开题报告的字数不少于</w:t>
      </w:r>
      <w:r>
        <w:rPr>
          <w:sz w:val="24"/>
        </w:rPr>
        <w:t>250</w:t>
      </w:r>
      <w:r>
        <w:rPr>
          <w:rFonts w:hint="eastAsia"/>
          <w:sz w:val="24"/>
        </w:rPr>
        <w:t>0字（艺术类专业不少于</w:t>
      </w:r>
      <w:r>
        <w:rPr>
          <w:sz w:val="24"/>
        </w:rPr>
        <w:t>15</w:t>
      </w:r>
      <w:r>
        <w:rPr>
          <w:rFonts w:hint="eastAsia"/>
          <w:sz w:val="24"/>
        </w:rPr>
        <w:t>00字），其中，文献综述字数不得少于1000字，开题报告的格式按学校《本科毕业设计（论文）撰写规范》的要求撰写。</w:t>
      </w:r>
    </w:p>
    <w:p w14:paraId="5A64EE0C">
      <w:pPr>
        <w:pStyle w:val="6"/>
        <w:spacing w:line="360" w:lineRule="auto"/>
        <w:ind w:left="0" w:firstLine="573" w:firstLineChars="0"/>
        <w:rPr>
          <w:sz w:val="24"/>
        </w:rPr>
      </w:pPr>
      <w:r>
        <w:rPr>
          <w:sz w:val="24"/>
        </w:rPr>
        <w:t>4. 有关年月日等日期的填写，应当按照国标</w:t>
      </w:r>
      <w:r>
        <w:rPr>
          <w:rFonts w:ascii="Times New Roman" w:hAnsi="Times New Roman"/>
          <w:sz w:val="24"/>
        </w:rPr>
        <w:t>GBT</w:t>
      </w:r>
      <w:r>
        <w:rPr>
          <w:sz w:val="24"/>
        </w:rPr>
        <w:t xml:space="preserve"> 7408—2005《数据元和交换格式、信息交换、日期和时间表示法》规定的要求，一律用阿拉伯数字书写。如“2022年3月1日”或“2022-03-01”。</w:t>
      </w:r>
    </w:p>
    <w:p w14:paraId="2DA323CF">
      <w:pPr>
        <w:pStyle w:val="6"/>
        <w:spacing w:line="360" w:lineRule="auto"/>
        <w:ind w:left="0" w:firstLine="573" w:firstLineChars="0"/>
        <w:rPr>
          <w:sz w:val="24"/>
        </w:rPr>
      </w:pPr>
    </w:p>
    <w:p w14:paraId="5E90201E">
      <w:pPr>
        <w:rPr>
          <w:sz w:val="28"/>
          <w:szCs w:val="28"/>
        </w:rPr>
      </w:pPr>
    </w:p>
    <w:p w14:paraId="0A0A3F70">
      <w:pPr>
        <w:rPr>
          <w:sz w:val="28"/>
          <w:szCs w:val="28"/>
        </w:rPr>
      </w:pPr>
    </w:p>
    <w:p w14:paraId="2F6F9595">
      <w:pPr>
        <w:rPr>
          <w:sz w:val="30"/>
          <w:szCs w:val="30"/>
        </w:rPr>
      </w:pPr>
    </w:p>
    <w:p w14:paraId="4D99A2ED">
      <w:pPr>
        <w:rPr>
          <w:sz w:val="30"/>
          <w:szCs w:val="30"/>
        </w:rPr>
      </w:pPr>
    </w:p>
    <w:p w14:paraId="4B53A387">
      <w:pPr>
        <w:rPr>
          <w:sz w:val="30"/>
          <w:szCs w:val="30"/>
        </w:rPr>
      </w:pPr>
    </w:p>
    <w:p w14:paraId="03BE5A80">
      <w:pPr>
        <w:rPr>
          <w:sz w:val="30"/>
          <w:szCs w:val="30"/>
        </w:rPr>
      </w:pPr>
    </w:p>
    <w:p w14:paraId="4EF43C6D">
      <w:pPr>
        <w:rPr>
          <w:sz w:val="30"/>
          <w:szCs w:val="30"/>
        </w:rPr>
      </w:pPr>
    </w:p>
    <w:p w14:paraId="5A341B34">
      <w:pPr>
        <w:rPr>
          <w:sz w:val="30"/>
          <w:szCs w:val="30"/>
        </w:rPr>
      </w:pPr>
    </w:p>
    <w:p w14:paraId="768468CE">
      <w:pPr>
        <w:rPr>
          <w:sz w:val="30"/>
          <w:szCs w:val="30"/>
        </w:rPr>
      </w:pPr>
    </w:p>
    <w:p w14:paraId="5FD0EAAD">
      <w:pPr>
        <w:rPr>
          <w:sz w:val="30"/>
          <w:szCs w:val="30"/>
        </w:rPr>
      </w:pPr>
    </w:p>
    <w:p w14:paraId="0014A3E4">
      <w:pPr>
        <w:rPr>
          <w:sz w:val="13"/>
          <w:szCs w:val="13"/>
        </w:rPr>
      </w:pPr>
    </w:p>
    <w:tbl>
      <w:tblPr>
        <w:tblStyle w:val="10"/>
        <w:tblW w:w="8738" w:type="dxa"/>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9"/>
        <w:gridCol w:w="4369"/>
      </w:tblGrid>
      <w:tr w14:paraId="78C5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07E7B782">
            <w:pPr>
              <w:spacing w:line="360" w:lineRule="auto"/>
              <w:rPr>
                <w:b/>
                <w:bCs/>
                <w:sz w:val="24"/>
              </w:rPr>
            </w:pPr>
            <w:r>
              <w:rPr>
                <w:rFonts w:hint="eastAsia"/>
                <w:b/>
                <w:bCs/>
                <w:sz w:val="24"/>
              </w:rPr>
              <w:t>一、选题的背景和意义：</w:t>
            </w:r>
          </w:p>
          <w:p w14:paraId="55FF21D6">
            <w:pPr>
              <w:spacing w:line="360" w:lineRule="auto"/>
              <w:rPr>
                <w:rFonts w:hint="eastAsia"/>
                <w:sz w:val="24"/>
              </w:rPr>
            </w:pPr>
            <w:r>
              <w:rPr>
                <w:rFonts w:hint="eastAsia"/>
                <w:sz w:val="24"/>
              </w:rPr>
              <w:t>1.1 研究背景</w:t>
            </w:r>
          </w:p>
          <w:p w14:paraId="5F3D6C48">
            <w:pPr>
              <w:spacing w:line="360" w:lineRule="auto"/>
              <w:ind w:firstLine="480" w:firstLineChars="200"/>
              <w:rPr>
                <w:rStyle w:val="18"/>
                <w:rFonts w:hint="eastAsia"/>
              </w:rPr>
            </w:pPr>
            <w:r>
              <w:rPr>
                <w:rStyle w:val="18"/>
                <w:rFonts w:hint="eastAsia"/>
              </w:rPr>
              <w:t>在数字化经济深度渗透各行各业的当下，零工经济（Gig Economy）已从补充就业形态成长为全球劳动力市场的核心组成部分，深刻重构着传统就业模式与服务交易逻辑。据《全球零工经济发展报告》显示，2024 年全球自由职业者群体规模突破 2.3 亿人，中国范围内从事摄影、编程、手工创作、心理咨询、设计翻译、健身私教等专业技能服务的个人工作室数量已超 800 万家，年增长率稳定在 22% 以上。这一群体中，35 岁以下年轻从业者占比达 68%，他们更倾向于通过灵活自主的工作模式实现技能价值变现，对数字化服务平台的专业性、便捷性与互动性提出了更高要求。</w:t>
            </w:r>
          </w:p>
          <w:p w14:paraId="4077DD89">
            <w:pPr>
              <w:spacing w:line="360" w:lineRule="auto"/>
              <w:ind w:firstLine="480" w:firstLineChars="200"/>
              <w:rPr>
                <w:rStyle w:val="18"/>
                <w:rFonts w:hint="eastAsia"/>
              </w:rPr>
            </w:pPr>
            <w:r>
              <w:rPr>
                <w:rStyle w:val="18"/>
                <w:rFonts w:hint="eastAsia"/>
              </w:rPr>
              <w:t>与此同时，技能服务的市场需求正呈现爆发式增长。随着居民消费升级与个性化需求凸显，传统标准化服务已难以满足用户对定制化、高品质技能服务的追求 —— 企业需要临时的技术开发人才，个人需要专属的摄影跟拍、职业规划咨询等服务，跨地域、跨场景的技能服务需求持续攀升。然而，当前市场上的服务对接渠道存在显著短板，未能有效匹配供需双方的核心诉求。</w:t>
            </w:r>
          </w:p>
          <w:p w14:paraId="4E754C36">
            <w:pPr>
              <w:spacing w:line="360" w:lineRule="auto"/>
              <w:ind w:firstLine="480" w:firstLineChars="200"/>
              <w:rPr>
                <w:rStyle w:val="18"/>
                <w:rFonts w:hint="eastAsia"/>
              </w:rPr>
            </w:pPr>
            <w:r>
              <w:rPr>
                <w:rStyle w:val="18"/>
                <w:rFonts w:hint="eastAsia"/>
              </w:rPr>
              <w:t>通用型电商平台（如淘宝、闲鱼）的核心定位是实物商品交易，虽能承载部分技能服务发布，但缺乏针对 “时间预约” 场景的深度适配。这类平台的交易流程、评价体系均围绕实物设计，技能服务的时间槽锁定、档期冲突规避等核心功能仅为附加模块，用户需手动沟通确认档期，极易出现重复预约、时间纠纷等问题。同时，技能展示仅依赖图文描述，无法支持高清视频、作品合集等多媒体形式，难以全面呈现服务者的专业能力，导致供需双方信息不对称，信任建立成本高。</w:t>
            </w:r>
          </w:p>
          <w:p w14:paraId="455A5CA8">
            <w:pPr>
              <w:spacing w:line="360" w:lineRule="auto"/>
              <w:ind w:firstLine="480" w:firstLineChars="200"/>
              <w:rPr>
                <w:rStyle w:val="18"/>
                <w:rFonts w:hint="eastAsia"/>
              </w:rPr>
            </w:pPr>
            <w:r>
              <w:rPr>
                <w:rStyle w:val="18"/>
                <w:rFonts w:hint="eastAsia"/>
              </w:rPr>
              <w:t>垂直领域的技能平台（如专注摄影预约、编程外包的小众平台）虽聚焦单一服务类型，但功能设计过于单一。这类平台普遍以 “预约 + 支付” 为核心流程，缺乏用户互动激励机制与长期留存体系，用户完成单次交易后即脱离平台，活跃度与复购率偏低。此外，多数垂直平台局限于本土服务场景，未考虑全球化服务需求，缺乏多语言支持、跨境支付适配等功能，无法满足远程技能服务、跨国服务对接的市场需求。</w:t>
            </w:r>
          </w:p>
          <w:p w14:paraId="334A6D44">
            <w:pPr>
              <w:spacing w:line="360" w:lineRule="auto"/>
              <w:ind w:firstLine="480" w:firstLineChars="200"/>
              <w:rPr>
                <w:rStyle w:val="18"/>
                <w:rFonts w:hint="eastAsia"/>
              </w:rPr>
            </w:pPr>
            <w:r>
              <w:rPr>
                <w:rStyle w:val="18"/>
                <w:rFonts w:hint="eastAsia"/>
              </w:rPr>
              <w:t>更为关键的是，现有平台普遍忽视了技能服务的 “信任背书” 与 “服务保障” 环节。服务者的资质审核缺乏标准化流程，虚假宣传、技能水平与描述不符等问题频发；需求方遭遇服务质量问题时，缺乏高效的纠纷仲裁机制，维权成本高。这些痛点不仅制约了零工经济的进一步发展，也让大量优质技能服务者难以获得稳定客源，需求方难以快速找到靠谱的服务提供者。</w:t>
            </w:r>
          </w:p>
          <w:p w14:paraId="4596B288">
            <w:pPr>
              <w:spacing w:line="360" w:lineRule="auto"/>
              <w:ind w:firstLine="480" w:firstLineChars="200"/>
              <w:rPr>
                <w:rFonts w:hint="eastAsia"/>
                <w:sz w:val="24"/>
              </w:rPr>
            </w:pPr>
            <w:r>
              <w:rPr>
                <w:rStyle w:val="18"/>
                <w:rFonts w:hint="eastAsia"/>
              </w:rPr>
              <w:t>在此背景下，构建一个兼具专业性、互动性、全球化视野与安全保障的综合性 Web 预约服务平台，成为破解行业痛点、释放零工经济潜力的关键，既符合市场供需双方的核心诉求，也顺应了数字化服务交易的发展趋势。</w:t>
            </w:r>
            <w:r>
              <w:rPr>
                <w:rFonts w:hint="eastAsia" w:ascii="Times New Roman" w:hAnsi="Times New Roman" w:eastAsia="宋体" w:cs="Times New Roman"/>
                <w:kern w:val="2"/>
                <w:sz w:val="24"/>
                <w:szCs w:val="24"/>
                <w:lang w:val="en-US" w:eastAsia="zh-CN" w:bidi="ar-SA"/>
              </w:rPr>
              <w:br w:type="textWrapping"/>
            </w:r>
            <w:r>
              <w:rPr>
                <w:rFonts w:hint="eastAsia"/>
                <w:sz w:val="24"/>
              </w:rPr>
              <w:t>1.2 研究意义</w:t>
            </w:r>
          </w:p>
          <w:p w14:paraId="7BAB5901">
            <w:pPr>
              <w:pStyle w:val="16"/>
              <w:bidi w:val="0"/>
              <w:rPr>
                <w:rFonts w:hint="eastAsia"/>
              </w:rPr>
            </w:pPr>
            <w:r>
              <w:rPr>
                <w:rFonts w:hint="eastAsia"/>
              </w:rPr>
              <w:t>工程实践意义： 本项目旨在利用现代Web技术（Spring Boot 3.2+、Vue 3、MySQL）构建一个集技能展示、在线预约、评价反馈及虚拟激励为一体的综合性平台。</w:t>
            </w:r>
          </w:p>
          <w:p w14:paraId="50D7BEC5">
            <w:pPr>
              <w:pStyle w:val="16"/>
              <w:bidi w:val="0"/>
              <w:rPr>
                <w:rFonts w:hint="eastAsia"/>
              </w:rPr>
            </w:pPr>
            <w:r>
              <w:rPr>
                <w:rFonts w:hint="eastAsia"/>
              </w:rPr>
              <w:t>业务逻辑创新： 通过</w:t>
            </w:r>
            <w:r>
              <w:rPr>
                <w:rFonts w:hint="eastAsia"/>
                <w:lang w:val="en-US" w:eastAsia="zh-CN"/>
              </w:rPr>
              <w:t>订单</w:t>
            </w:r>
            <w:r>
              <w:rPr>
                <w:rFonts w:hint="eastAsia"/>
              </w:rPr>
              <w:t>保证商业属性，通过“积分”提升用户黏性，模拟真实的互联网运营模型。</w:t>
            </w:r>
          </w:p>
          <w:p w14:paraId="672ABBB7">
            <w:pPr>
              <w:pStyle w:val="16"/>
              <w:bidi w:val="0"/>
            </w:pPr>
            <w:r>
              <w:rPr>
                <w:rFonts w:hint="eastAsia"/>
              </w:rPr>
              <w:t xml:space="preserve">技术探索价值： </w:t>
            </w:r>
            <w:r>
              <w:rPr>
                <w:rFonts w:hint="eastAsia"/>
                <w:lang w:val="en-US" w:eastAsia="zh-CN"/>
              </w:rPr>
              <w:t>实行</w:t>
            </w:r>
            <w:r>
              <w:rPr>
                <w:rFonts w:hint="eastAsia"/>
              </w:rPr>
              <w:t>全站</w:t>
            </w:r>
            <w:r>
              <w:rPr>
                <w:rFonts w:hint="eastAsia"/>
                <w:lang w:val="en-US" w:eastAsia="zh-CN"/>
              </w:rPr>
              <w:t>可以中英文切换</w:t>
            </w:r>
            <w:r>
              <w:rPr>
                <w:rFonts w:hint="eastAsia"/>
              </w:rPr>
              <w:t>，探索在分布式环境下处理高并发预约冲突的逻辑，以及大容量多媒体资源（视频/图片）的加载优化方案。</w:t>
            </w:r>
          </w:p>
        </w:tc>
      </w:tr>
      <w:tr w14:paraId="6145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2D801463">
            <w:pPr>
              <w:spacing w:line="360" w:lineRule="auto"/>
              <w:rPr>
                <w:b/>
                <w:bCs/>
                <w:sz w:val="24"/>
              </w:rPr>
            </w:pPr>
            <w:r>
              <w:rPr>
                <w:rFonts w:hint="eastAsia"/>
                <w:b/>
                <w:bCs/>
                <w:sz w:val="24"/>
              </w:rPr>
              <w:t>二、主要研究内容：</w:t>
            </w:r>
          </w:p>
          <w:p w14:paraId="2BE4DA00">
            <w:pPr>
              <w:pStyle w:val="16"/>
              <w:bidi w:val="0"/>
              <w:rPr>
                <w:rFonts w:hint="eastAsia"/>
              </w:rPr>
            </w:pPr>
            <w:r>
              <w:rPr>
                <w:rFonts w:hint="eastAsia"/>
              </w:rPr>
              <w:t>本系统拟划分为三个核心端（买家端、卖家端、管理后台），</w:t>
            </w:r>
            <w:r>
              <w:rPr>
                <w:rFonts w:hint="eastAsia"/>
                <w:lang w:val="en-US" w:eastAsia="zh-CN"/>
              </w:rPr>
              <w:t>用户分为三种，普通用户、个人工作者、管理员，不同的用户会有其对应的权限组成，</w:t>
            </w:r>
            <w:r>
              <w:rPr>
                <w:rFonts w:hint="eastAsia"/>
              </w:rPr>
              <w:t>主要研究内容包括：</w:t>
            </w:r>
          </w:p>
          <w:p w14:paraId="5AC5620D">
            <w:pPr>
              <w:pStyle w:val="16"/>
              <w:bidi w:val="0"/>
              <w:ind w:left="0" w:leftChars="0" w:firstLine="0" w:firstLineChars="0"/>
              <w:rPr>
                <w:rFonts w:hint="eastAsia"/>
              </w:rPr>
            </w:pPr>
            <w:r>
              <w:rPr>
                <w:rFonts w:hint="eastAsia"/>
              </w:rPr>
              <w:t>2.1 角色与权限管理系统</w:t>
            </w:r>
          </w:p>
          <w:p w14:paraId="6C75D7BD">
            <w:pPr>
              <w:pStyle w:val="16"/>
              <w:bidi w:val="0"/>
              <w:rPr>
                <w:rFonts w:hint="eastAsia"/>
              </w:rPr>
            </w:pPr>
            <w:r>
              <w:rPr>
                <w:rFonts w:hint="eastAsia"/>
              </w:rPr>
              <w:t>研究如何基于 Spring Security + JWT 实现普通用户与个人工作者的角色平滑切换。重点攻克用户如何通过“资质审核”从普通买家晋升为卖家的业务流。</w:t>
            </w:r>
          </w:p>
          <w:p w14:paraId="2F07A177">
            <w:pPr>
              <w:pStyle w:val="16"/>
              <w:bidi w:val="0"/>
              <w:ind w:left="0" w:leftChars="0" w:firstLine="0" w:firstLineChars="0"/>
              <w:rPr>
                <w:rFonts w:hint="eastAsia"/>
              </w:rPr>
            </w:pPr>
            <w:r>
              <w:rPr>
                <w:rFonts w:hint="eastAsia"/>
              </w:rPr>
              <w:t>2.2 多媒体技能展示引擎</w:t>
            </w:r>
          </w:p>
          <w:p w14:paraId="4C3EF91E">
            <w:pPr>
              <w:pStyle w:val="16"/>
              <w:bidi w:val="0"/>
              <w:rPr>
                <w:rFonts w:hint="eastAsia"/>
              </w:rPr>
            </w:pPr>
            <w:r>
              <w:rPr>
                <w:rFonts w:hint="eastAsia"/>
              </w:rPr>
              <w:t>研究如何在 Vue 3 前端实现图片、视频展示。卖家可上传资料证明技能熟练度，系统需处理视频与图优化。</w:t>
            </w:r>
          </w:p>
          <w:p w14:paraId="6EC03D41">
            <w:pPr>
              <w:pStyle w:val="16"/>
              <w:bidi w:val="0"/>
              <w:ind w:left="0" w:leftChars="0" w:firstLine="0" w:firstLineChars="0"/>
              <w:rPr>
                <w:rFonts w:hint="eastAsia"/>
              </w:rPr>
            </w:pPr>
            <w:r>
              <w:rPr>
                <w:rFonts w:hint="eastAsia"/>
              </w:rPr>
              <w:t>2.3 预约调度与冲突处理（核心难点）</w:t>
            </w:r>
          </w:p>
          <w:p w14:paraId="54E53C51">
            <w:pPr>
              <w:pStyle w:val="16"/>
              <w:bidi w:val="0"/>
              <w:rPr>
                <w:rFonts w:hint="eastAsia"/>
              </w:rPr>
            </w:pPr>
            <w:r>
              <w:rPr>
                <w:rFonts w:hint="eastAsia"/>
              </w:rPr>
              <w:t>设计一套高可靠的预约算法。研究如何处理“时间槽（Time Slot）”锁定逻辑，确保同一时段不被重复预约。研究在高并</w:t>
            </w:r>
            <w:bookmarkStart w:id="0" w:name="_GoBack"/>
            <w:bookmarkEnd w:id="0"/>
            <w:r>
              <w:rPr>
                <w:rFonts w:hint="eastAsia"/>
              </w:rPr>
              <w:t>发下单场景下，利用 数据库事务 或 Redis 分布式锁 保证数据一致性。</w:t>
            </w:r>
          </w:p>
          <w:p w14:paraId="663CEF6D">
            <w:pPr>
              <w:pStyle w:val="16"/>
              <w:bidi w:val="0"/>
              <w:ind w:left="0" w:leftChars="0" w:firstLine="0" w:firstLineChars="0"/>
              <w:rPr>
                <w:rFonts w:hint="eastAsia"/>
              </w:rPr>
            </w:pPr>
            <w:r>
              <w:rPr>
                <w:rFonts w:hint="eastAsia"/>
              </w:rPr>
              <w:t>2.4 经济模型设计</w:t>
            </w:r>
          </w:p>
          <w:p w14:paraId="4D3A520B">
            <w:pPr>
              <w:pStyle w:val="16"/>
              <w:bidi w:val="0"/>
              <w:rPr>
                <w:rFonts w:hint="eastAsia"/>
              </w:rPr>
            </w:pPr>
            <w:r>
              <w:rPr>
                <w:rFonts w:hint="eastAsia"/>
                <w:lang w:val="en-US" w:eastAsia="zh-CN"/>
              </w:rPr>
              <w:t>余额</w:t>
            </w:r>
            <w:r>
              <w:rPr>
                <w:rFonts w:hint="eastAsia"/>
              </w:rPr>
              <w:t>： 负责服务购买、资金托管与提现（提现手续费折损算法）。</w:t>
            </w:r>
          </w:p>
          <w:p w14:paraId="5D0318B3">
            <w:pPr>
              <w:pStyle w:val="16"/>
              <w:bidi w:val="0"/>
              <w:rPr>
                <w:rFonts w:hint="eastAsia"/>
              </w:rPr>
            </w:pPr>
            <w:r>
              <w:rPr>
                <w:rFonts w:hint="eastAsia"/>
                <w:lang w:val="en-US" w:eastAsia="zh-CN"/>
              </w:rPr>
              <w:t>积分</w:t>
            </w:r>
            <w:r>
              <w:rPr>
                <w:rFonts w:hint="eastAsia"/>
              </w:rPr>
              <w:t>： 负责任务奖励（签到、浏览）、虚拟装扮购买，研究如何通过任务驱动提升平台活跃度。</w:t>
            </w:r>
          </w:p>
          <w:p w14:paraId="4C5881D7">
            <w:pPr>
              <w:pStyle w:val="16"/>
              <w:bidi w:val="0"/>
              <w:ind w:left="0" w:leftChars="0" w:firstLine="0" w:firstLineChars="0"/>
              <w:rPr>
                <w:rFonts w:hint="default" w:eastAsia="宋体"/>
                <w:lang w:val="en-US" w:eastAsia="zh-CN"/>
              </w:rPr>
            </w:pPr>
            <w:r>
              <w:rPr>
                <w:rFonts w:hint="eastAsia"/>
              </w:rPr>
              <w:t xml:space="preserve">2.5 </w:t>
            </w:r>
            <w:r>
              <w:rPr>
                <w:rFonts w:hint="eastAsia"/>
                <w:lang w:val="en-US" w:eastAsia="zh-CN"/>
              </w:rPr>
              <w:t>中英文切换</w:t>
            </w:r>
          </w:p>
          <w:p w14:paraId="492310BA">
            <w:pPr>
              <w:pStyle w:val="16"/>
              <w:bidi w:val="0"/>
            </w:pPr>
            <w:r>
              <w:rPr>
                <w:rFonts w:hint="eastAsia"/>
              </w:rPr>
              <w:t>研究前端静态文本切换，以及后端数据库动态内容的国际化存储方案，实现中英文平滑切换。</w:t>
            </w:r>
          </w:p>
        </w:tc>
      </w:tr>
      <w:tr w14:paraId="466A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25B08AC3">
            <w:pPr>
              <w:spacing w:line="360" w:lineRule="auto"/>
              <w:rPr>
                <w:b/>
                <w:bCs/>
                <w:sz w:val="24"/>
              </w:rPr>
            </w:pPr>
            <w:r>
              <w:rPr>
                <w:rFonts w:hint="eastAsia"/>
                <w:b/>
                <w:bCs/>
                <w:sz w:val="24"/>
              </w:rPr>
              <w:t>三、方案（设计方案、或研究方案、研制方案）论证：</w:t>
            </w:r>
          </w:p>
          <w:p w14:paraId="5BAD134B">
            <w:pPr>
              <w:spacing w:line="360" w:lineRule="auto"/>
              <w:rPr>
                <w:rFonts w:hint="eastAsia"/>
                <w:sz w:val="24"/>
              </w:rPr>
            </w:pPr>
            <w:r>
              <w:rPr>
                <w:rFonts w:hint="eastAsia"/>
                <w:sz w:val="24"/>
              </w:rPr>
              <w:t>本系统采用前后端分离的微内核架构。</w:t>
            </w:r>
          </w:p>
          <w:p w14:paraId="78E9FB4E">
            <w:pPr>
              <w:spacing w:line="360" w:lineRule="auto"/>
              <w:rPr>
                <w:rFonts w:hint="eastAsia"/>
                <w:sz w:val="24"/>
              </w:rPr>
            </w:pPr>
            <w:r>
              <w:rPr>
                <w:rFonts w:hint="eastAsia"/>
                <w:sz w:val="24"/>
              </w:rPr>
              <w:t>3.1 方案论证</w:t>
            </w:r>
          </w:p>
          <w:p w14:paraId="2B4225A2">
            <w:pPr>
              <w:pStyle w:val="16"/>
              <w:bidi w:val="0"/>
              <w:rPr>
                <w:rFonts w:hint="eastAsia"/>
              </w:rPr>
            </w:pPr>
            <w:r>
              <w:rPr>
                <w:rFonts w:hint="eastAsia"/>
              </w:rPr>
              <w:t>通过采用前后端分离架构，由Vue 3前端独立负责用户界面的渲染、状态管理与交互逻辑，由Spring Boot 3后端专注于API提供、核心业务规则与财务计算。二者通过定义清晰的RESTful API进行数据交互。该架构模式解耦了前后端开发，提升了并行开发效率，增强了系统的可维护性与可测试性，并为未来系统功能扩展或向微服务架构演进奠定了良好的基础。</w:t>
            </w:r>
          </w:p>
          <w:p w14:paraId="3BE0F073">
            <w:pPr>
              <w:pStyle w:val="16"/>
              <w:bidi w:val="0"/>
              <w:ind w:left="0" w:leftChars="0" w:firstLine="0" w:firstLineChars="0"/>
              <w:rPr>
                <w:rFonts w:hint="eastAsia"/>
              </w:rPr>
            </w:pPr>
            <w:r>
              <w:rPr>
                <w:rFonts w:hint="eastAsia"/>
              </w:rPr>
              <w:t>3.2 关键技术选型论证</w:t>
            </w:r>
          </w:p>
          <w:p w14:paraId="0C0677B3">
            <w:pPr>
              <w:pStyle w:val="16"/>
              <w:bidi w:val="0"/>
              <w:ind w:left="0" w:leftChars="0" w:firstLine="0" w:firstLineChars="0"/>
              <w:rPr>
                <w:rFonts w:hint="eastAsia"/>
              </w:rPr>
            </w:pPr>
            <w:r>
              <w:rPr>
                <w:rFonts w:hint="eastAsia"/>
              </w:rPr>
              <w:t>3.2.1 前端技术栈：Vue 3 (Script Setup) + Vite + i18n</w:t>
            </w:r>
          </w:p>
          <w:p w14:paraId="79E8F08C">
            <w:pPr>
              <w:pStyle w:val="16"/>
              <w:bidi w:val="0"/>
              <w:ind w:left="0" w:leftChars="0" w:firstLine="0" w:firstLineChars="0"/>
              <w:rPr>
                <w:rFonts w:hint="eastAsia"/>
              </w:rPr>
            </w:pPr>
            <w:r>
              <w:rPr>
                <w:rFonts w:hint="eastAsia"/>
              </w:rPr>
              <w:t>（1）响应式性能：Vue 3基于Proxy重构的响应式系统，相比Vue 2的Object.defineProperty，在性能与功能上均有显著提升，能够更高效地处理技能展示页面中可能存在的多视频、多图片等复杂状态管理。&lt;script setup&gt;语法糖使得组件逻辑更紧凑，减少了样板代码。</w:t>
            </w:r>
          </w:p>
          <w:p w14:paraId="75D1BE65">
            <w:pPr>
              <w:pStyle w:val="16"/>
              <w:bidi w:val="0"/>
              <w:ind w:left="0" w:leftChars="0" w:firstLine="0" w:firstLineChars="0"/>
              <w:rPr>
                <w:rFonts w:hint="eastAsia"/>
              </w:rPr>
            </w:pPr>
            <w:r>
              <w:rPr>
                <w:rFonts w:hint="eastAsia"/>
              </w:rPr>
              <w:t>（2）构建效率：选用Vite作为构建工具。其利用浏览器原生ES模块导入特性，实现了极快的冷启动与毫秒级的热更新（HMR）。对于需要频繁调整界面与样式的开发阶段，Vite能大幅缩短开发者的等待时间，提升开发体验。</w:t>
            </w:r>
          </w:p>
          <w:p w14:paraId="1BF3CFE7">
            <w:pPr>
              <w:pStyle w:val="16"/>
              <w:bidi w:val="0"/>
              <w:ind w:left="0" w:leftChars="0" w:firstLine="0" w:firstLineChars="0"/>
              <w:rPr>
                <w:rFonts w:hint="eastAsia"/>
              </w:rPr>
            </w:pPr>
            <w:r>
              <w:rPr>
                <w:rFonts w:hint="eastAsia"/>
              </w:rPr>
              <w:t>（3）国际化方案：采用vue-i18n库配合全量JSON语言包。此方案的优势在于，通过统一的$t()翻译函数，可在应用运行时无缝、瞬时地切换整个用户界面的显示语言，无需刷新页面，保证了用户体验的流畅性与连贯性。</w:t>
            </w:r>
          </w:p>
          <w:p w14:paraId="10512CF7">
            <w:pPr>
              <w:pStyle w:val="16"/>
              <w:bidi w:val="0"/>
              <w:ind w:left="0" w:leftChars="0" w:firstLine="0" w:firstLineChars="0"/>
              <w:rPr>
                <w:rFonts w:hint="eastAsia"/>
              </w:rPr>
            </w:pPr>
            <w:r>
              <w:rPr>
                <w:rFonts w:hint="eastAsia"/>
              </w:rPr>
              <w:t>3.2.2 后端技术栈：Spring Boot 3.2+ 与 JDK 21</w:t>
            </w:r>
          </w:p>
          <w:p w14:paraId="17BA09DD">
            <w:pPr>
              <w:pStyle w:val="16"/>
              <w:bidi w:val="0"/>
              <w:ind w:left="0" w:leftChars="0" w:firstLine="0" w:firstLineChars="0"/>
              <w:rPr>
                <w:rFonts w:hint="eastAsia"/>
              </w:rPr>
            </w:pPr>
            <w:r>
              <w:rPr>
                <w:rFonts w:hint="eastAsia"/>
              </w:rPr>
              <w:t>（1）工程化基石：Spring Boot 3提供了成熟的“约定优于配置”理念和强大的自动配置能力，其内建的AOP（面向切面编程）机制能够优雅、非侵入地实现全局性功能，如统一日志记录、权限拦截与声明式事务管理，极大地提升了开发效率和代码质量。</w:t>
            </w:r>
          </w:p>
          <w:p w14:paraId="2AF81BB2">
            <w:pPr>
              <w:pStyle w:val="16"/>
              <w:bidi w:val="0"/>
              <w:ind w:left="0" w:leftChars="0" w:firstLine="0" w:firstLineChars="0"/>
              <w:rPr>
                <w:rFonts w:hint="eastAsia"/>
              </w:rPr>
            </w:pPr>
            <w:r>
              <w:rPr>
                <w:rFonts w:hint="eastAsia"/>
              </w:rPr>
              <w:t>（2）虚拟线程支持：针对预约系统可能出现的瞬时高并发场景（如热门服务者档期抢购），选用支持虚拟线程的JDK 21。虚拟线程能够以极低的资源开销处理大量并发连接，相较于传统平台线程，在高并发I/O密集型业务中能显著提升系统的吞吐量和资源利用率。</w:t>
            </w:r>
          </w:p>
          <w:p w14:paraId="5EAB4431">
            <w:pPr>
              <w:pStyle w:val="16"/>
              <w:bidi w:val="0"/>
              <w:ind w:left="0" w:leftChars="0" w:firstLine="0" w:firstLineChars="0"/>
              <w:rPr>
                <w:rFonts w:hint="eastAsia"/>
              </w:rPr>
            </w:pPr>
            <w:r>
              <w:rPr>
                <w:rFonts w:hint="eastAsia"/>
              </w:rPr>
              <w:t>3.3 核心业务逻辑解决方案论证</w:t>
            </w:r>
          </w:p>
          <w:p w14:paraId="7EF3D09F">
            <w:pPr>
              <w:pStyle w:val="16"/>
              <w:bidi w:val="0"/>
              <w:ind w:left="0" w:leftChars="0" w:firstLine="0" w:firstLineChars="0"/>
              <w:rPr>
                <w:rFonts w:hint="eastAsia"/>
              </w:rPr>
            </w:pPr>
            <w:r>
              <w:rPr>
                <w:rFonts w:hint="eastAsia"/>
              </w:rPr>
              <w:t>3.3.1 “双币循环”经济模型解决方案</w:t>
            </w:r>
          </w:p>
          <w:p w14:paraId="01709606">
            <w:pPr>
              <w:pStyle w:val="16"/>
              <w:bidi w:val="0"/>
              <w:ind w:left="0" w:leftChars="0" w:firstLine="0" w:firstLineChars="0"/>
              <w:rPr>
                <w:rFonts w:hint="eastAsia"/>
              </w:rPr>
            </w:pPr>
            <w:r>
              <w:rPr>
                <w:rFonts w:hint="eastAsia"/>
              </w:rPr>
              <w:t>（1）设计：在用户钱包（User_Wallet）实体中，明确区分</w:t>
            </w:r>
            <w:r>
              <w:rPr>
                <w:rFonts w:hint="eastAsia"/>
                <w:lang w:val="en-US" w:eastAsia="zh-CN"/>
              </w:rPr>
              <w:t>余额与积分</w:t>
            </w:r>
            <w:r>
              <w:rPr>
                <w:rFonts w:hint="eastAsia"/>
              </w:rPr>
              <w:t>两种资产。</w:t>
            </w:r>
          </w:p>
          <w:p w14:paraId="3F6EF392">
            <w:pPr>
              <w:pStyle w:val="16"/>
              <w:bidi w:val="0"/>
              <w:ind w:left="0" w:leftChars="0" w:firstLine="0" w:firstLineChars="0"/>
              <w:rPr>
                <w:rFonts w:hint="eastAsia"/>
              </w:rPr>
            </w:pPr>
            <w:r>
              <w:rPr>
                <w:rFonts w:hint="eastAsia"/>
              </w:rPr>
              <w:t>（2）方案论证：为解决“</w:t>
            </w:r>
            <w:r>
              <w:rPr>
                <w:rFonts w:hint="eastAsia"/>
                <w:lang w:val="en-US" w:eastAsia="zh-CN"/>
              </w:rPr>
              <w:t>余额与积分</w:t>
            </w:r>
            <w:r>
              <w:rPr>
                <w:rFonts w:hint="eastAsia"/>
              </w:rPr>
              <w:t>全额抵扣可能导致服务者实际收益减少”的问题，系统采用“比例抵扣”的支付逻辑。本方案的研究重点在于实现一套完整的、可审计的提现折损逻辑。当服务者发起提现时，系统通过预定义的AOP拦截器自动计算手续费，并将包含手续费详情的完整流水记录。此设计不仅可通过手续费机制覆盖平台运营成本（如对象存储、带宽），也模拟并实现了真实商业环境中的资金结算逻辑。</w:t>
            </w:r>
          </w:p>
          <w:p w14:paraId="5B52BBE4">
            <w:pPr>
              <w:pStyle w:val="16"/>
              <w:bidi w:val="0"/>
              <w:ind w:left="0" w:leftChars="0" w:firstLine="0" w:firstLineChars="0"/>
              <w:rPr>
                <w:rFonts w:hint="eastAsia"/>
              </w:rPr>
            </w:pPr>
            <w:r>
              <w:rPr>
                <w:rFonts w:hint="eastAsia"/>
              </w:rPr>
              <w:t>3.3.2 “时间槽”预约锁高并发冲突解决方案</w:t>
            </w:r>
          </w:p>
          <w:p w14:paraId="31992A3F">
            <w:pPr>
              <w:pStyle w:val="16"/>
              <w:bidi w:val="0"/>
              <w:ind w:left="0" w:leftChars="0" w:firstLine="0" w:firstLineChars="0"/>
              <w:rPr>
                <w:rFonts w:hint="eastAsia"/>
              </w:rPr>
            </w:pPr>
            <w:r>
              <w:rPr>
                <w:rFonts w:hint="eastAsia"/>
              </w:rPr>
              <w:t>（1）逻辑：预约流程借鉴分布式系统中的“两阶段提交”思想进行设计。</w:t>
            </w:r>
          </w:p>
          <w:p w14:paraId="1C686067">
            <w:pPr>
              <w:pStyle w:val="16"/>
              <w:bidi w:val="0"/>
              <w:ind w:left="0" w:leftChars="0" w:firstLine="0" w:firstLineChars="0"/>
              <w:rPr>
                <w:rFonts w:hint="eastAsia"/>
              </w:rPr>
            </w:pPr>
            <w:r>
              <w:rPr>
                <w:rFonts w:hint="eastAsia"/>
              </w:rPr>
              <w:t>（2）方案论证：</w:t>
            </w:r>
          </w:p>
          <w:p w14:paraId="70407F41">
            <w:pPr>
              <w:pStyle w:val="16"/>
              <w:bidi w:val="0"/>
              <w:ind w:left="0" w:leftChars="0" w:firstLine="0" w:firstLineChars="0"/>
              <w:rPr>
                <w:rFonts w:hint="eastAsia"/>
              </w:rPr>
            </w:pPr>
            <w:r>
              <w:rPr>
                <w:rFonts w:hint="eastAsia"/>
              </w:rPr>
              <w:t>（</w:t>
            </w:r>
            <w:r>
              <w:rPr>
                <w:rFonts w:hint="eastAsia"/>
                <w:lang w:val="en-US" w:eastAsia="zh-CN"/>
              </w:rPr>
              <w:t>1</w:t>
            </w:r>
            <w:r>
              <w:rPr>
                <w:rFonts w:hint="eastAsia"/>
              </w:rPr>
              <w:t>）Redis乐观预占（第一阶段）：用户提交预约请求时，系统首先使用Redis的SETNX指令尝试锁定目标时间片段，并设置一个较短的TTL（如15分钟）。此步骤旨在快速拦截重复或无效请求。</w:t>
            </w:r>
          </w:p>
          <w:p w14:paraId="66D86FB5">
            <w:pPr>
              <w:pStyle w:val="16"/>
              <w:bidi w:val="0"/>
              <w:ind w:left="0" w:leftChars="0" w:firstLine="0" w:firstLineChars="0"/>
              <w:rPr>
                <w:rFonts w:hint="eastAsia"/>
              </w:rPr>
            </w:pPr>
            <w:r>
              <w:rPr>
                <w:rFonts w:hint="eastAsia"/>
              </w:rPr>
              <w:t>（2）MySQL硬核持久化（第二阶段）：仅在用户支付成功回调后，系统才在数据库事务中，将状态持久化更新。</w:t>
            </w:r>
          </w:p>
          <w:p w14:paraId="3017FF36">
            <w:pPr>
              <w:pStyle w:val="16"/>
              <w:bidi w:val="0"/>
              <w:rPr>
                <w:rFonts w:hint="eastAsia"/>
              </w:rPr>
            </w:pPr>
            <w:r>
              <w:rPr>
                <w:rFonts w:hint="eastAsia"/>
              </w:rPr>
              <w:t>本方案将绝大部分的并发冲突控制在内存数据库Redis层面进行化解，能够有效过滤掉短时间内的大量无效点击，从而极大缓解核心业务数据库在高并发场景下的写入压力，保障系统稳定性。</w:t>
            </w:r>
          </w:p>
          <w:p w14:paraId="71193749">
            <w:pPr>
              <w:pStyle w:val="16"/>
              <w:bidi w:val="0"/>
              <w:ind w:left="0" w:leftChars="0" w:firstLine="0" w:firstLineChars="0"/>
              <w:rPr>
                <w:rFonts w:hint="eastAsia"/>
              </w:rPr>
            </w:pPr>
            <w:r>
              <w:rPr>
                <w:rFonts w:hint="eastAsia"/>
              </w:rPr>
              <w:t>3.3.3 容器化部署方案：Docker + Docker Compose</w:t>
            </w:r>
          </w:p>
          <w:p w14:paraId="5A0D39B3">
            <w:pPr>
              <w:pStyle w:val="16"/>
              <w:bidi w:val="0"/>
              <w:rPr>
                <w:rFonts w:hint="eastAsia"/>
              </w:rPr>
            </w:pPr>
            <w:r>
              <w:rPr>
                <w:rFonts w:hint="eastAsia"/>
              </w:rPr>
              <w:t>方案论证：本项目后端涉及Spring Boot应用、MySQL、Redis、MinIO，前端涉及Nginx及静态资源，环境依赖复杂。采用Docker容器化技术，将每个组件及其依赖封装为独立的镜像。通过Docker Compose编排工具，使用一个docker-compose.yml文件即可定义和启动所有服务。此方案确保了从开发、测试到演示部署的环境绝对一致性，避免了“在我机器上能运行”的典型问题，体现了现代软件工程的DevOps最佳实践，也简化了部署流程。</w:t>
            </w:r>
          </w:p>
          <w:p w14:paraId="11C94457">
            <w:pPr>
              <w:pStyle w:val="16"/>
              <w:bidi w:val="0"/>
              <w:ind w:left="0" w:leftChars="0" w:firstLine="0" w:firstLineChars="0"/>
              <w:rPr>
                <w:rFonts w:hint="eastAsia"/>
              </w:rPr>
            </w:pPr>
            <w:r>
              <w:rPr>
                <w:rFonts w:hint="eastAsia"/>
              </w:rPr>
              <w:t>3.4 方案可行性总结</w:t>
            </w:r>
          </w:p>
          <w:p w14:paraId="53A0573E">
            <w:pPr>
              <w:pStyle w:val="16"/>
              <w:bidi w:val="0"/>
              <w:ind w:left="0" w:leftChars="0" w:firstLine="0" w:firstLineChars="0"/>
              <w:rPr>
                <w:rFonts w:hint="eastAsia"/>
              </w:rPr>
            </w:pPr>
            <w:r>
              <w:rPr>
                <w:rFonts w:hint="eastAsia"/>
              </w:rPr>
              <w:t>（1）技术可行性：所选技术栈（Vue 3, Spring Boot, MySQL）均为当前业界广泛使用、社区活跃、文档完备的成熟框架与工具，技术风险低。</w:t>
            </w:r>
          </w:p>
          <w:p w14:paraId="78B7FA3F">
            <w:pPr>
              <w:pStyle w:val="16"/>
              <w:bidi w:val="0"/>
              <w:ind w:left="0" w:leftChars="0" w:firstLine="0" w:firstLineChars="0"/>
              <w:rPr>
                <w:rFonts w:hint="eastAsia"/>
              </w:rPr>
            </w:pPr>
            <w:r>
              <w:rPr>
                <w:rFonts w:hint="eastAsia"/>
              </w:rPr>
              <w:t>（2）硬件可行性：基于Docker的容器化部署使得系统对硬件环境要求灵活，可在单台开发机或标准云服务器资源上完整运行，无需特殊硬件支持。</w:t>
            </w:r>
          </w:p>
          <w:p w14:paraId="58903C7A">
            <w:pPr>
              <w:pStyle w:val="16"/>
              <w:bidi w:val="0"/>
              <w:ind w:left="0" w:leftChars="0" w:firstLine="0" w:firstLineChars="0"/>
              <w:rPr>
                <w:rFonts w:hint="eastAsia"/>
              </w:rPr>
            </w:pPr>
            <w:r>
              <w:rPr>
                <w:rFonts w:hint="eastAsia"/>
              </w:rPr>
              <w:t>（3）时间可行性：Spring Boot与Vue 3均以开发效率著称，配合清晰的前后端分离架构，有利于团队成员并行开发。在合理的项目管理和阶段规划下，于既定6个月周期内完成从需求分析、开发、测试到部署上线的全过程是切实可行的。</w:t>
            </w:r>
          </w:p>
          <w:p w14:paraId="47F4C38D">
            <w:pPr>
              <w:bidi w:val="0"/>
              <w:spacing w:line="360" w:lineRule="auto"/>
              <w:rPr>
                <w:rFonts w:hint="default" w:eastAsia="宋体"/>
                <w:sz w:val="24"/>
                <w:szCs w:val="24"/>
                <w:lang w:val="en-US" w:eastAsia="zh-CN"/>
              </w:rPr>
            </w:pPr>
            <w:r>
              <w:rPr>
                <w:rFonts w:hint="eastAsia"/>
                <w:sz w:val="24"/>
                <w:szCs w:val="24"/>
                <w:lang w:val="en-US" w:eastAsia="zh-CN"/>
              </w:rPr>
              <w:t>4.系统功能结构</w:t>
            </w:r>
          </w:p>
          <w:p w14:paraId="4C75542E">
            <w:pPr>
              <w:spacing w:line="360" w:lineRule="auto"/>
              <w:rPr>
                <w:rFonts w:hint="eastAsia" w:eastAsia="宋体"/>
                <w:sz w:val="24"/>
                <w:lang w:eastAsia="zh-CN"/>
              </w:rPr>
            </w:pPr>
            <w:r>
              <w:rPr>
                <w:rFonts w:hint="eastAsia" w:eastAsia="宋体"/>
                <w:sz w:val="24"/>
                <w:lang w:eastAsia="zh-CN"/>
              </w:rPr>
              <w:drawing>
                <wp:inline distT="0" distB="0" distL="114300" distR="114300">
                  <wp:extent cx="5404485" cy="2880360"/>
                  <wp:effectExtent l="0" t="0" r="5715" b="15240"/>
                  <wp:docPr id="3" name="图片 3" descr="C:/Users/1/Desktop/个人工作室/系统结构图.jpg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1/Desktop/个人工作室/系统结构图.jpg系统结构图"/>
                          <pic:cNvPicPr>
                            <a:picLocks noChangeAspect="1"/>
                          </pic:cNvPicPr>
                        </pic:nvPicPr>
                        <pic:blipFill>
                          <a:blip r:embed="rId5"/>
                          <a:srcRect t="493" b="493"/>
                          <a:stretch>
                            <a:fillRect/>
                          </a:stretch>
                        </pic:blipFill>
                        <pic:spPr>
                          <a:xfrm>
                            <a:off x="0" y="0"/>
                            <a:ext cx="5404485" cy="2880360"/>
                          </a:xfrm>
                          <a:prstGeom prst="rect">
                            <a:avLst/>
                          </a:prstGeom>
                        </pic:spPr>
                      </pic:pic>
                    </a:graphicData>
                  </a:graphic>
                </wp:inline>
              </w:drawing>
            </w:r>
          </w:p>
          <w:p w14:paraId="020D1D14">
            <w:pPr>
              <w:pStyle w:val="5"/>
              <w:spacing w:line="360" w:lineRule="auto"/>
              <w:jc w:val="center"/>
              <w:rPr>
                <w:rFonts w:hint="eastAsia" w:eastAsia="宋体"/>
                <w:sz w:val="24"/>
                <w:lang w:val="en-US" w:eastAsia="zh-CN"/>
              </w:rPr>
            </w:pPr>
            <w:r>
              <w:rPr>
                <w:rFonts w:hint="eastAsia" w:eastAsia="宋体"/>
                <w:sz w:val="24"/>
                <w:lang w:val="en-US" w:eastAsia="zh-CN"/>
              </w:rPr>
              <w:t>图1系统功能结构图</w:t>
            </w:r>
          </w:p>
          <w:p w14:paraId="6CB6C54A">
            <w:pPr>
              <w:pStyle w:val="16"/>
              <w:bidi w:val="0"/>
              <w:rPr>
                <w:rFonts w:hint="eastAsia"/>
              </w:rPr>
            </w:pPr>
            <w:r>
              <w:rPr>
                <w:rFonts w:hint="eastAsia"/>
              </w:rPr>
              <w:t>根据前述系统总体架构与关键技术选型，本项目构建了一个清晰、模块化且职责分明的三层系统功能结构。该结构以“基于Web的个人工作室预约服务平台”为总系统，向下划分为“用户门户”、“工作者门户”及“平台管理后台”三大核心子系统，每个子系统进一步细分为高内聚的功能模块组。</w:t>
            </w:r>
          </w:p>
          <w:p w14:paraId="6987AA26">
            <w:pPr>
              <w:pStyle w:val="16"/>
              <w:bidi w:val="0"/>
              <w:ind w:left="0" w:leftChars="0" w:firstLine="0" w:firstLineChars="0"/>
              <w:rPr>
                <w:rFonts w:hint="eastAsia"/>
              </w:rPr>
            </w:pPr>
            <w:r>
              <w:rPr>
                <w:rFonts w:hint="eastAsia"/>
              </w:rPr>
              <w:t>结构设计理念与层次说明：</w:t>
            </w:r>
          </w:p>
          <w:p w14:paraId="75C0C493">
            <w:pPr>
              <w:pStyle w:val="16"/>
              <w:bidi w:val="0"/>
              <w:rPr>
                <w:rFonts w:hint="eastAsia"/>
              </w:rPr>
            </w:pPr>
            <w:r>
              <w:rPr>
                <w:rFonts w:hint="eastAsia"/>
              </w:rPr>
              <w:t>本结构图的设计严格遵循了前后端分离与模块化思想。第一层（总系统）明确了平台的业务定位与核心价值。第二层（三大门户子系统）依据平台核心参与方的角色（买家、卖家、管理者）进行纵向切分，实现了权限、界面与业务逻辑的自然隔离，确保了系统的安全性与用户体验的针对性。第三层（功能模块）则在各子系统内部，按照“账户-商品-交易-资产-互动”等横向业务流进行组织，确保每一个业务环节都有对应的、功能完备的模块支撑，形成了从服务发现、预约交易、履约核销到评价反馈的完整闭环。</w:t>
            </w:r>
          </w:p>
          <w:p w14:paraId="037F6EC7">
            <w:pPr>
              <w:pStyle w:val="16"/>
              <w:bidi w:val="0"/>
              <w:ind w:left="0" w:leftChars="0" w:firstLine="0" w:firstLineChars="0"/>
              <w:rPr>
                <w:rFonts w:hint="eastAsia"/>
              </w:rPr>
            </w:pPr>
            <w:r>
              <w:rPr>
                <w:rFonts w:hint="eastAsia"/>
              </w:rPr>
              <w:t>核心子系统功能联动关系：</w:t>
            </w:r>
          </w:p>
          <w:p w14:paraId="64F1869C">
            <w:pPr>
              <w:pStyle w:val="16"/>
              <w:bidi w:val="0"/>
              <w:rPr>
                <w:rFonts w:hint="eastAsia"/>
              </w:rPr>
            </w:pPr>
            <w:r>
              <w:rPr>
                <w:rFonts w:hint="eastAsia"/>
              </w:rPr>
              <w:t>用户门户子系统与工作者门户子系统通过“预约交易”核心流程紧密耦合。用户端的“发现与预约交易”模块驱动了工作者端的“订单处理”与“服务管理”，两者通过共享的订单状态机与支付流水进行实时交互，构成了平台的核心双边市场。</w:t>
            </w:r>
          </w:p>
          <w:p w14:paraId="23EC9AB6">
            <w:pPr>
              <w:pStyle w:val="16"/>
              <w:bidi w:val="0"/>
              <w:rPr>
                <w:rFonts w:hint="eastAsia"/>
              </w:rPr>
            </w:pPr>
            <w:r>
              <w:rPr>
                <w:rFonts w:hint="eastAsia"/>
              </w:rPr>
              <w:t>平台管理后台子系统作为监管与支撑层，横向贯穿并服务于前两个子系统。它既对用户与工作者的入驻、发布内容进行审核（监管职能），又对两者之间产生的交易纠纷进行仲裁，同时还负责配置影响全局的经济规则与运营活动，是整个平台得以安全、稳定、有序运行的调控中枢。</w:t>
            </w:r>
          </w:p>
          <w:p w14:paraId="1AE4A0B1">
            <w:pPr>
              <w:pStyle w:val="16"/>
              <w:bidi w:val="0"/>
              <w:rPr>
                <w:rFonts w:hint="eastAsia"/>
              </w:rPr>
            </w:pPr>
            <w:r>
              <w:rPr>
                <w:rFonts w:hint="eastAsia"/>
              </w:rPr>
              <w:t>此功能结构不仅完整覆盖了需求分析中的所有业务场景，其清晰的层次与模块化设计也为后续的并行开发、独立测试以及未来针对特定业务线的功能扩展奠定了坚实的基础，充分论证了本系统设计方案在业务实现上的可行性与工程上的优越性。</w:t>
            </w:r>
          </w:p>
          <w:p w14:paraId="0AF06054">
            <w:pPr>
              <w:spacing w:line="360" w:lineRule="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4.1 普通用户功能</w:t>
            </w:r>
          </w:p>
          <w:p w14:paraId="7AB887DC">
            <w:pPr>
              <w:pStyle w:val="16"/>
              <w:bidi w:val="0"/>
              <w:rPr>
                <w:rFonts w:hint="eastAsia"/>
                <w:lang w:val="en-US" w:eastAsia="zh-CN"/>
              </w:rPr>
            </w:pPr>
            <w:r>
              <w:rPr>
                <w:rFonts w:hint="eastAsia"/>
                <w:lang w:val="en-US" w:eastAsia="zh-CN"/>
              </w:rPr>
              <w:t>本部分详细阐述平台普通用户（服务购买者）的核心功能架构。该架构以用户体验旅程为主线，构建从准入识别、个人管理、服务发现、交易履约到资产互动的完整闭环，共分为六大核心模块，旨在提供安全、便捷、丰富的服务预约体验。</w:t>
            </w:r>
          </w:p>
          <w:p w14:paraId="039A91B9">
            <w:pPr>
              <w:pStyle w:val="16"/>
              <w:bidi w:val="0"/>
              <w:rPr>
                <w:rFonts w:hint="eastAsia" w:ascii="宋体" w:hAnsi="宋体" w:eastAsia="宋体" w:cs="宋体"/>
                <w:sz w:val="24"/>
                <w:szCs w:val="24"/>
                <w:lang w:val="en-US" w:eastAsia="zh-CN"/>
              </w:rPr>
            </w:pPr>
            <w:r>
              <w:rPr>
                <w:rFonts w:hint="eastAsia"/>
                <w:lang w:val="en-US" w:eastAsia="zh-CN"/>
              </w:rPr>
              <w:t>平台以账户安全与用户身份管理为基础，提供从服务发现、预约交易到资产管理的完整闭环体验。用户可便捷地注册登录并管理个人资料与虚拟资产，通过搜索与筛选找到所需服务，完成从查看详情、选择档期到支付下单的全流程。同时，平台集成了钱包积分体系、社区任务与互动功能，并通过消息通知保持用户连接，全面支持个性化展示、交易安全与长期留存。</w:t>
            </w:r>
          </w:p>
          <w:p w14:paraId="02ED6BAA">
            <w:pPr>
              <w:pStyle w:val="16"/>
              <w:bidi w:val="0"/>
              <w:rPr>
                <w:rFonts w:hint="eastAsia"/>
                <w:lang w:val="en-US" w:eastAsia="zh-CN"/>
              </w:rPr>
            </w:pPr>
            <w:r>
              <w:rPr>
                <w:rFonts w:hint="eastAsia"/>
                <w:lang w:val="en-US" w:eastAsia="zh-CN"/>
              </w:rPr>
              <w:t>工作者（服务提供者）是平台生态的核心供给方。其功能设计聚焦于“效率提升”、“订单管理”与“收益保障”三大核心，旨在赋能工作者便捷地展示技能、高效处理订单并清晰管理收益。工作者同时享有普通用户的全部功能，以下为其专属功能模块的详细讲解。</w:t>
            </w:r>
          </w:p>
          <w:p w14:paraId="19BC536F">
            <w:pPr>
              <w:pStyle w:val="16"/>
              <w:bidi w:val="0"/>
              <w:rPr>
                <w:rFonts w:hint="eastAsia"/>
                <w:lang w:val="en-US" w:eastAsia="zh-CN"/>
              </w:rPr>
            </w:pPr>
            <w:r>
              <w:rPr>
                <w:rFonts w:hint="eastAsia"/>
                <w:lang w:val="en-US" w:eastAsia="zh-CN"/>
              </w:rPr>
              <w:t>平台为服务提供者提供从入驻、服务管理到经营分析的一站式支持。工作者需完成严格的资质认证与实名核验后方可入驻，随后可发布并管理自己的技能服务，通过图文视频多维度展示，并自主设置可预约时间、服务范围与休假安排。订单到来后，工作者可进行接单、服务核销与异常处理，完成交易全流程。所有收益均清晰记录并可便捷提现，辅以数据看板辅助经营决策。同时，平台提供评价互动、申诉等工具，帮助工作者维护客户关系与自身声誉，实现长期良性发展。</w:t>
            </w:r>
          </w:p>
          <w:p w14:paraId="14275955">
            <w:p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4.2 管理员功能</w:t>
            </w:r>
          </w:p>
          <w:p w14:paraId="110075A4">
            <w:pPr>
              <w:pStyle w:val="16"/>
              <w:bidi w:val="0"/>
              <w:rPr>
                <w:rFonts w:hint="eastAsia"/>
                <w:lang w:val="en-US" w:eastAsia="zh-CN"/>
              </w:rPr>
            </w:pPr>
            <w:r>
              <w:rPr>
                <w:rFonts w:hint="eastAsia"/>
                <w:lang w:val="en-US" w:eastAsia="zh-CN"/>
              </w:rPr>
              <w:t>管理员是平台治理的核心，其后台系统聚焦于“审核监管”、“风险控制”、“运营配置”与“系统维稳”四大核心职责。以下五大功能模块共同构成了平台稳定、合规、高效运行的中枢管理体系。</w:t>
            </w:r>
          </w:p>
          <w:p w14:paraId="7B7B14A5">
            <w:pPr>
              <w:pStyle w:val="16"/>
              <w:bidi w:val="0"/>
              <w:rPr>
                <w:rFonts w:hint="default"/>
                <w:lang w:val="en-US" w:eastAsia="zh-CN"/>
              </w:rPr>
            </w:pPr>
            <w:r>
              <w:rPr>
                <w:rFonts w:hint="eastAsia"/>
                <w:lang w:val="en-US" w:eastAsia="zh-CN"/>
              </w:rPr>
              <w:t>该后台管理系统是平台的治理中枢，全面负责用户资质审核、内容生态治理、交易纠纷仲裁、财务运营配置及系统稳定维护。管理员可审核用户实名信息与工作者资质，并对平台内发布的技能内容及用户评价进行监管，从源头把控合规与质量。同时，系统支持全程监控订单、仲裁交易纠纷，并管理平台财务数据、提现审批及经济规则配置。此外，管理员能够维护积分商城、发布全局公告，并监控系统日志，从而全面确保平台的合规有序、稳定安全与公平运作。</w:t>
            </w:r>
          </w:p>
        </w:tc>
      </w:tr>
      <w:tr w14:paraId="030B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vAlign w:val="top"/>
          </w:tcPr>
          <w:p w14:paraId="10EEBB6D">
            <w:pPr>
              <w:spacing w:line="360" w:lineRule="auto"/>
              <w:rPr>
                <w:b/>
                <w:bCs/>
                <w:sz w:val="24"/>
              </w:rPr>
            </w:pPr>
            <w:r>
              <w:rPr>
                <w:rFonts w:hint="eastAsia"/>
                <w:b/>
                <w:bCs/>
                <w:sz w:val="24"/>
              </w:rPr>
              <w:t>四、研究的总体安排和进度计划：</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5741"/>
            </w:tblGrid>
            <w:tr w14:paraId="2385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771" w:type="dxa"/>
                  <w:vAlign w:val="center"/>
                </w:tcPr>
                <w:p w14:paraId="33C5934C">
                  <w:pPr>
                    <w:spacing w:line="360" w:lineRule="auto"/>
                    <w:jc w:val="center"/>
                    <w:rPr>
                      <w:rFonts w:hint="default" w:ascii="Times New Roman" w:hAnsi="Times New Roman" w:eastAsia="宋体"/>
                      <w:sz w:val="24"/>
                      <w:vertAlign w:val="baseline"/>
                      <w:lang w:val="en-US" w:eastAsia="zh-CN"/>
                    </w:rPr>
                  </w:pPr>
                  <w:r>
                    <w:rPr>
                      <w:rFonts w:hint="eastAsia" w:ascii="Times New Roman" w:hAnsi="Times New Roman"/>
                      <w:sz w:val="24"/>
                      <w:vertAlign w:val="baseline"/>
                      <w:lang w:val="en-US" w:eastAsia="zh-CN"/>
                    </w:rPr>
                    <w:t>起止日期</w:t>
                  </w:r>
                </w:p>
              </w:tc>
              <w:tc>
                <w:tcPr>
                  <w:tcW w:w="5741" w:type="dxa"/>
                  <w:vAlign w:val="center"/>
                </w:tcPr>
                <w:p w14:paraId="36BF5E15">
                  <w:pPr>
                    <w:spacing w:line="360" w:lineRule="auto"/>
                    <w:jc w:val="center"/>
                    <w:rPr>
                      <w:rFonts w:hint="eastAsia" w:eastAsia="宋体"/>
                      <w:sz w:val="24"/>
                      <w:vertAlign w:val="baseline"/>
                      <w:lang w:val="en-US" w:eastAsia="zh-CN"/>
                    </w:rPr>
                  </w:pPr>
                  <w:r>
                    <w:rPr>
                      <w:rFonts w:hint="eastAsia"/>
                      <w:sz w:val="24"/>
                      <w:vertAlign w:val="baseline"/>
                      <w:lang w:val="en-US" w:eastAsia="zh-CN"/>
                    </w:rPr>
                    <w:t>工作内容</w:t>
                  </w:r>
                </w:p>
              </w:tc>
            </w:tr>
            <w:tr w14:paraId="537E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7D78D8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 xml:space="preserve"> </w:t>
                  </w:r>
                  <w:r>
                    <w:rPr>
                      <w:rFonts w:hint="eastAsia" w:ascii="Times New Roman" w:hAnsi="Times New Roman"/>
                      <w:bCs/>
                      <w:sz w:val="24"/>
                      <w:lang w:val="en-US" w:eastAsia="zh-CN"/>
                    </w:rPr>
                    <w:t>1</w:t>
                  </w:r>
                  <w:r>
                    <w:rPr>
                      <w:rFonts w:hint="eastAsia" w:ascii="Times New Roman" w:hAnsi="Times New Roman"/>
                      <w:bCs/>
                      <w:sz w:val="24"/>
                    </w:rPr>
                    <w:t>日</w:t>
                  </w:r>
                  <w:r>
                    <w:rPr>
                      <w:rFonts w:ascii="Times New Roman" w:hAnsi="Times New Roman"/>
                      <w:bCs/>
                      <w:sz w:val="24"/>
                    </w:rPr>
                    <w:t>—</w:t>
                  </w:r>
                </w:p>
                <w:p w14:paraId="596A13AD">
                  <w:pPr>
                    <w:keepNext w:val="0"/>
                    <w:keepLines w:val="0"/>
                    <w:pageBreakBefore w:val="0"/>
                    <w:widowControl w:val="0"/>
                    <w:kinsoku/>
                    <w:wordWrap/>
                    <w:overflowPunct/>
                    <w:topLinePunct w:val="0"/>
                    <w:autoSpaceDE/>
                    <w:autoSpaceDN/>
                    <w:bidi w:val="0"/>
                    <w:adjustRightInd/>
                    <w:snapToGrid/>
                    <w:spacing w:line="240" w:lineRule="auto"/>
                    <w:ind w:firstLine="240" w:firstLineChars="100"/>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10</w:t>
                  </w:r>
                  <w:r>
                    <w:rPr>
                      <w:rFonts w:hint="eastAsia" w:ascii="Times New Roman" w:hAnsi="Times New Roman"/>
                      <w:bCs/>
                      <w:sz w:val="24"/>
                    </w:rPr>
                    <w:t>日</w:t>
                  </w:r>
                </w:p>
              </w:tc>
              <w:tc>
                <w:tcPr>
                  <w:tcW w:w="5741" w:type="dxa"/>
                  <w:vAlign w:val="center"/>
                </w:tcPr>
                <w:p w14:paraId="4146B5FA">
                  <w:pPr>
                    <w:keepNext w:val="0"/>
                    <w:keepLines w:val="0"/>
                    <w:pageBreakBefore w:val="0"/>
                    <w:kinsoku/>
                    <w:wordWrap/>
                    <w:overflowPunct/>
                    <w:topLinePunct w:val="0"/>
                    <w:autoSpaceDE/>
                    <w:autoSpaceDN/>
                    <w:bidi w:val="0"/>
                    <w:adjustRightInd/>
                    <w:snapToGrid/>
                    <w:spacing w:line="360" w:lineRule="auto"/>
                    <w:jc w:val="left"/>
                    <w:textAlignment w:val="auto"/>
                    <w:rPr>
                      <w:sz w:val="24"/>
                      <w:vertAlign w:val="baseline"/>
                    </w:rPr>
                  </w:pPr>
                  <w:r>
                    <w:rPr>
                      <w:rFonts w:hint="eastAsia" w:ascii="Times New Roman" w:hAnsi="Times New Roman"/>
                      <w:sz w:val="24"/>
                      <w:lang w:val="en-US" w:eastAsia="zh-CN"/>
                    </w:rPr>
                    <w:t>查阅相关文献，确定选题方向</w:t>
                  </w:r>
                </w:p>
              </w:tc>
            </w:tr>
            <w:tr w14:paraId="33BB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59B0DB47">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ascii="Times New Roman" w:hAnsi="Times New Roman"/>
                      <w:bCs/>
                      <w:sz w:val="24"/>
                      <w:lang w:val="en-US" w:eastAsia="zh-CN"/>
                    </w:rPr>
                    <w:t>1</w:t>
                  </w:r>
                  <w:r>
                    <w:rPr>
                      <w:rFonts w:hint="eastAsia"/>
                      <w:bCs/>
                      <w:sz w:val="24"/>
                      <w:lang w:val="en-US" w:eastAsia="zh-CN"/>
                    </w:rPr>
                    <w:t>1</w:t>
                  </w:r>
                  <w:r>
                    <w:rPr>
                      <w:rFonts w:hint="eastAsia" w:ascii="Times New Roman" w:hAnsi="Times New Roman"/>
                      <w:bCs/>
                      <w:sz w:val="24"/>
                    </w:rPr>
                    <w:t>日</w:t>
                  </w:r>
                  <w:r>
                    <w:rPr>
                      <w:rFonts w:ascii="Times New Roman" w:hAnsi="Times New Roman"/>
                      <w:bCs/>
                      <w:sz w:val="24"/>
                    </w:rPr>
                    <w:t>—</w:t>
                  </w:r>
                </w:p>
                <w:p w14:paraId="6367E388">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22</w:t>
                  </w:r>
                  <w:r>
                    <w:rPr>
                      <w:rFonts w:hint="eastAsia" w:ascii="Times New Roman" w:hAnsi="Times New Roman"/>
                      <w:bCs/>
                      <w:sz w:val="24"/>
                    </w:rPr>
                    <w:t>日</w:t>
                  </w:r>
                </w:p>
              </w:tc>
              <w:tc>
                <w:tcPr>
                  <w:tcW w:w="5741" w:type="dxa"/>
                  <w:vAlign w:val="center"/>
                </w:tcPr>
                <w:p w14:paraId="00406B74">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lang w:val="en-US" w:eastAsia="zh-CN"/>
                    </w:rPr>
                    <w:t>查找中英文项目资料，熟悉开发工具</w:t>
                  </w:r>
                </w:p>
              </w:tc>
            </w:tr>
            <w:tr w14:paraId="7A9D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74E04215">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23</w:t>
                  </w:r>
                  <w:r>
                    <w:rPr>
                      <w:rFonts w:hint="eastAsia" w:ascii="Times New Roman" w:hAnsi="Times New Roman"/>
                      <w:bCs/>
                      <w:sz w:val="24"/>
                    </w:rPr>
                    <w:t>日</w:t>
                  </w:r>
                  <w:r>
                    <w:rPr>
                      <w:rFonts w:ascii="Times New Roman" w:hAnsi="Times New Roman"/>
                      <w:bCs/>
                      <w:sz w:val="24"/>
                    </w:rPr>
                    <w:t>—</w:t>
                  </w:r>
                </w:p>
                <w:p w14:paraId="522DFDD6">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5</w:t>
                  </w:r>
                  <w:r>
                    <w:rPr>
                      <w:rFonts w:hint="eastAsia" w:ascii="Times New Roman" w:hAnsi="Times New Roman"/>
                      <w:bCs/>
                      <w:sz w:val="24"/>
                      <w:lang w:val="en-US" w:eastAsia="zh-CN"/>
                    </w:rPr>
                    <w:t>年1</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31</w:t>
                  </w:r>
                  <w:r>
                    <w:rPr>
                      <w:rFonts w:hint="eastAsia" w:ascii="Times New Roman" w:hAnsi="Times New Roman"/>
                      <w:bCs/>
                      <w:sz w:val="24"/>
                    </w:rPr>
                    <w:t>日</w:t>
                  </w:r>
                </w:p>
              </w:tc>
              <w:tc>
                <w:tcPr>
                  <w:tcW w:w="5741" w:type="dxa"/>
                  <w:vAlign w:val="center"/>
                </w:tcPr>
                <w:p w14:paraId="1F3A2206">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lang w:val="en-US" w:eastAsia="zh-CN"/>
                    </w:rPr>
                    <w:t>书写任务书和开题报告，完成开题汇报</w:t>
                  </w:r>
                </w:p>
              </w:tc>
            </w:tr>
            <w:tr w14:paraId="1281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749026C1">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1</w:t>
                  </w:r>
                  <w:r>
                    <w:rPr>
                      <w:rFonts w:hint="eastAsia" w:ascii="Times New Roman" w:hAnsi="Times New Roman"/>
                      <w:bCs/>
                      <w:sz w:val="24"/>
                    </w:rPr>
                    <w:t>月</w:t>
                  </w:r>
                  <w:r>
                    <w:rPr>
                      <w:rFonts w:hint="eastAsia"/>
                      <w:bCs/>
                      <w:sz w:val="24"/>
                      <w:lang w:val="en-US" w:eastAsia="zh-CN"/>
                    </w:rPr>
                    <w:t>1</w:t>
                  </w:r>
                  <w:r>
                    <w:rPr>
                      <w:rFonts w:hint="eastAsia" w:ascii="Times New Roman" w:hAnsi="Times New Roman"/>
                      <w:bCs/>
                      <w:sz w:val="24"/>
                    </w:rPr>
                    <w:t>日</w:t>
                  </w:r>
                  <w:r>
                    <w:rPr>
                      <w:rFonts w:ascii="Times New Roman" w:hAnsi="Times New Roman"/>
                      <w:bCs/>
                      <w:sz w:val="24"/>
                    </w:rPr>
                    <w:t>—</w:t>
                  </w:r>
                </w:p>
                <w:p w14:paraId="39C5690E">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1</w:t>
                  </w:r>
                  <w:r>
                    <w:rPr>
                      <w:rFonts w:hint="eastAsia" w:ascii="Times New Roman" w:hAnsi="Times New Roman"/>
                      <w:bCs/>
                      <w:sz w:val="24"/>
                    </w:rPr>
                    <w:t>月</w:t>
                  </w:r>
                  <w:r>
                    <w:rPr>
                      <w:rFonts w:hint="eastAsia"/>
                      <w:bCs/>
                      <w:sz w:val="24"/>
                      <w:lang w:val="en-US" w:eastAsia="zh-CN"/>
                    </w:rPr>
                    <w:t>31</w:t>
                  </w:r>
                  <w:r>
                    <w:rPr>
                      <w:rFonts w:hint="eastAsia" w:ascii="Times New Roman" w:hAnsi="Times New Roman"/>
                      <w:bCs/>
                      <w:sz w:val="24"/>
                    </w:rPr>
                    <w:t>日</w:t>
                  </w:r>
                </w:p>
              </w:tc>
              <w:tc>
                <w:tcPr>
                  <w:tcW w:w="5741" w:type="dxa"/>
                  <w:vAlign w:val="center"/>
                </w:tcPr>
                <w:p w14:paraId="4C0EF4AC">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lang w:val="en-US" w:eastAsia="zh-CN"/>
                    </w:rPr>
                    <w:t>设计系统，完成系统功能模块的分析，开始搭建项目</w:t>
                  </w:r>
                </w:p>
              </w:tc>
            </w:tr>
            <w:tr w14:paraId="2FE4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771" w:type="dxa"/>
                  <w:vAlign w:val="center"/>
                </w:tcPr>
                <w:p w14:paraId="2BC9A1A9">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1</w:t>
                  </w:r>
                  <w:r>
                    <w:rPr>
                      <w:rFonts w:hint="eastAsia" w:ascii="Times New Roman" w:hAnsi="Times New Roman"/>
                      <w:bCs/>
                      <w:sz w:val="24"/>
                    </w:rPr>
                    <w:t>日</w:t>
                  </w:r>
                  <w:r>
                    <w:rPr>
                      <w:rFonts w:ascii="Times New Roman" w:hAnsi="Times New Roman"/>
                      <w:bCs/>
                      <w:sz w:val="24"/>
                    </w:rPr>
                    <w:t>—</w:t>
                  </w:r>
                </w:p>
                <w:p w14:paraId="759EDD54">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21</w:t>
                  </w:r>
                  <w:r>
                    <w:rPr>
                      <w:rFonts w:hint="eastAsia" w:ascii="Times New Roman" w:hAnsi="Times New Roman"/>
                      <w:bCs/>
                      <w:sz w:val="24"/>
                    </w:rPr>
                    <w:t>日</w:t>
                  </w:r>
                </w:p>
              </w:tc>
              <w:tc>
                <w:tcPr>
                  <w:tcW w:w="5741" w:type="dxa"/>
                  <w:vAlign w:val="center"/>
                </w:tcPr>
                <w:p w14:paraId="74E8ACFD">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4"/>
                      <w:vertAlign w:val="baseline"/>
                    </w:rPr>
                  </w:pPr>
                  <w:r>
                    <w:rPr>
                      <w:rFonts w:hint="eastAsia" w:cs="宋体"/>
                      <w:color w:val="000000"/>
                      <w:kern w:val="0"/>
                      <w:sz w:val="24"/>
                      <w:szCs w:val="24"/>
                      <w:lang w:val="en-US" w:eastAsia="zh-CN" w:bidi="ar"/>
                    </w:rPr>
                    <w:t>实现后端各信息模块的增删改查基础功能建设，具体涵盖用户信息、订单管理、财务与运营等核心数据模块，提供标准化的RESTful API接口。</w:t>
                  </w:r>
                </w:p>
              </w:tc>
            </w:tr>
            <w:tr w14:paraId="66C2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14E5E2E6">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2</w:t>
                  </w:r>
                  <w:r>
                    <w:rPr>
                      <w:rFonts w:hint="eastAsia" w:ascii="Times New Roman" w:hAnsi="Times New Roman"/>
                      <w:bCs/>
                      <w:sz w:val="24"/>
                    </w:rPr>
                    <w:t>月</w:t>
                  </w:r>
                  <w:r>
                    <w:rPr>
                      <w:rFonts w:hint="eastAsia"/>
                      <w:bCs/>
                      <w:sz w:val="24"/>
                      <w:lang w:val="en-US" w:eastAsia="zh-CN"/>
                    </w:rPr>
                    <w:t>22</w:t>
                  </w:r>
                  <w:r>
                    <w:rPr>
                      <w:rFonts w:hint="eastAsia" w:ascii="Times New Roman" w:hAnsi="Times New Roman"/>
                      <w:bCs/>
                      <w:sz w:val="24"/>
                    </w:rPr>
                    <w:t>日</w:t>
                  </w:r>
                  <w:r>
                    <w:rPr>
                      <w:rFonts w:ascii="Times New Roman" w:hAnsi="Times New Roman"/>
                      <w:bCs/>
                      <w:sz w:val="24"/>
                    </w:rPr>
                    <w:t>—</w:t>
                  </w:r>
                </w:p>
                <w:p w14:paraId="542A811F">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3</w:t>
                  </w:r>
                  <w:r>
                    <w:rPr>
                      <w:rFonts w:hint="eastAsia" w:ascii="Times New Roman" w:hAnsi="Times New Roman"/>
                      <w:bCs/>
                      <w:sz w:val="24"/>
                    </w:rPr>
                    <w:t>月</w:t>
                  </w:r>
                  <w:r>
                    <w:rPr>
                      <w:rFonts w:hint="eastAsia"/>
                      <w:bCs/>
                      <w:sz w:val="24"/>
                      <w:lang w:val="en-US" w:eastAsia="zh-CN"/>
                    </w:rPr>
                    <w:t>14</w:t>
                  </w:r>
                  <w:r>
                    <w:rPr>
                      <w:rFonts w:hint="eastAsia" w:ascii="Times New Roman" w:hAnsi="Times New Roman"/>
                      <w:bCs/>
                      <w:sz w:val="24"/>
                    </w:rPr>
                    <w:t>日</w:t>
                  </w:r>
                </w:p>
              </w:tc>
              <w:tc>
                <w:tcPr>
                  <w:tcW w:w="5741" w:type="dxa"/>
                  <w:vAlign w:val="center"/>
                </w:tcPr>
                <w:p w14:paraId="6BF4C95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eastAsia="宋体" w:cs="宋体"/>
                      <w:color w:val="000000"/>
                      <w:kern w:val="0"/>
                      <w:sz w:val="24"/>
                      <w:szCs w:val="24"/>
                      <w:lang w:val="en-US" w:eastAsia="zh-CN" w:bidi="ar"/>
                    </w:rPr>
                    <w:t>完成</w:t>
                  </w:r>
                  <w:r>
                    <w:rPr>
                      <w:rFonts w:hint="eastAsia" w:cs="宋体"/>
                      <w:color w:val="000000"/>
                      <w:kern w:val="0"/>
                      <w:sz w:val="24"/>
                      <w:szCs w:val="24"/>
                      <w:lang w:val="en-US" w:eastAsia="zh-CN" w:bidi="ar"/>
                    </w:rPr>
                    <w:t>后端的排单算法，前端的页面绘制以及前后端联调</w:t>
                  </w:r>
                  <w:r>
                    <w:rPr>
                      <w:rFonts w:hint="eastAsia" w:ascii="Times New Roman" w:hAnsi="Times New Roman" w:eastAsia="宋体" w:cs="宋体"/>
                      <w:color w:val="000000"/>
                      <w:kern w:val="0"/>
                      <w:sz w:val="24"/>
                      <w:szCs w:val="24"/>
                      <w:lang w:val="en-US" w:eastAsia="zh-CN" w:bidi="ar"/>
                    </w:rPr>
                    <w:t>，对</w:t>
                  </w:r>
                  <w:r>
                    <w:rPr>
                      <w:rFonts w:hint="eastAsia" w:ascii="Times New Roman" w:hAnsi="Times New Roman" w:cs="宋体"/>
                      <w:color w:val="000000"/>
                      <w:kern w:val="0"/>
                      <w:sz w:val="24"/>
                      <w:szCs w:val="24"/>
                      <w:lang w:val="en-US" w:eastAsia="zh-CN" w:bidi="ar"/>
                    </w:rPr>
                    <w:t>整个系统进行</w:t>
                  </w:r>
                  <w:r>
                    <w:rPr>
                      <w:rFonts w:hint="eastAsia" w:ascii="Times New Roman" w:hAnsi="Times New Roman" w:eastAsia="宋体" w:cs="宋体"/>
                      <w:color w:val="000000"/>
                      <w:kern w:val="0"/>
                      <w:sz w:val="24"/>
                      <w:szCs w:val="24"/>
                      <w:lang w:val="en-US" w:eastAsia="zh-CN" w:bidi="ar"/>
                    </w:rPr>
                    <w:t>测试</w:t>
                  </w:r>
                </w:p>
              </w:tc>
            </w:tr>
            <w:tr w14:paraId="00F8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03DDA396">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3</w:t>
                  </w:r>
                  <w:r>
                    <w:rPr>
                      <w:rFonts w:hint="eastAsia" w:ascii="Times New Roman" w:hAnsi="Times New Roman"/>
                      <w:bCs/>
                      <w:sz w:val="24"/>
                    </w:rPr>
                    <w:t>月</w:t>
                  </w:r>
                  <w:r>
                    <w:rPr>
                      <w:rFonts w:hint="eastAsia"/>
                      <w:bCs/>
                      <w:sz w:val="24"/>
                      <w:lang w:val="en-US" w:eastAsia="zh-CN"/>
                    </w:rPr>
                    <w:t>15</w:t>
                  </w:r>
                  <w:r>
                    <w:rPr>
                      <w:rFonts w:hint="eastAsia" w:ascii="Times New Roman" w:hAnsi="Times New Roman"/>
                      <w:bCs/>
                      <w:sz w:val="24"/>
                    </w:rPr>
                    <w:t>日</w:t>
                  </w:r>
                  <w:r>
                    <w:rPr>
                      <w:rFonts w:ascii="Times New Roman" w:hAnsi="Times New Roman"/>
                      <w:bCs/>
                      <w:sz w:val="24"/>
                    </w:rPr>
                    <w:t>—</w:t>
                  </w:r>
                </w:p>
                <w:p w14:paraId="16B4D124">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4</w:t>
                  </w:r>
                  <w:r>
                    <w:rPr>
                      <w:rFonts w:hint="eastAsia" w:ascii="Times New Roman" w:hAnsi="Times New Roman"/>
                      <w:bCs/>
                      <w:sz w:val="24"/>
                    </w:rPr>
                    <w:t>月</w:t>
                  </w:r>
                  <w:r>
                    <w:rPr>
                      <w:rFonts w:hint="eastAsia"/>
                      <w:bCs/>
                      <w:sz w:val="24"/>
                      <w:lang w:val="en-US" w:eastAsia="zh-CN"/>
                    </w:rPr>
                    <w:t>20</w:t>
                  </w:r>
                  <w:r>
                    <w:rPr>
                      <w:rFonts w:hint="eastAsia" w:ascii="Times New Roman" w:hAnsi="Times New Roman"/>
                      <w:bCs/>
                      <w:sz w:val="24"/>
                    </w:rPr>
                    <w:t>日</w:t>
                  </w:r>
                </w:p>
              </w:tc>
              <w:tc>
                <w:tcPr>
                  <w:tcW w:w="5741" w:type="dxa"/>
                  <w:vAlign w:val="center"/>
                </w:tcPr>
                <w:p w14:paraId="67D90FE2">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lang w:val="en-US" w:eastAsia="zh-CN"/>
                    </w:rPr>
                    <w:t>完善系统，开始毕业论文的书写，完成中期答辩</w:t>
                  </w:r>
                </w:p>
              </w:tc>
            </w:tr>
            <w:tr w14:paraId="5B86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710BF7FB">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4</w:t>
                  </w:r>
                  <w:r>
                    <w:rPr>
                      <w:rFonts w:hint="eastAsia" w:ascii="Times New Roman" w:hAnsi="Times New Roman"/>
                      <w:bCs/>
                      <w:sz w:val="24"/>
                    </w:rPr>
                    <w:t>月</w:t>
                  </w:r>
                  <w:r>
                    <w:rPr>
                      <w:rFonts w:hint="eastAsia"/>
                      <w:bCs/>
                      <w:sz w:val="24"/>
                      <w:lang w:val="en-US" w:eastAsia="zh-CN"/>
                    </w:rPr>
                    <w:t>21</w:t>
                  </w:r>
                  <w:r>
                    <w:rPr>
                      <w:rFonts w:hint="eastAsia" w:ascii="Times New Roman" w:hAnsi="Times New Roman"/>
                      <w:bCs/>
                      <w:sz w:val="24"/>
                    </w:rPr>
                    <w:t>日</w:t>
                  </w:r>
                  <w:r>
                    <w:rPr>
                      <w:rFonts w:ascii="Times New Roman" w:hAnsi="Times New Roman"/>
                      <w:bCs/>
                      <w:sz w:val="24"/>
                    </w:rPr>
                    <w:t>—</w:t>
                  </w:r>
                </w:p>
                <w:p w14:paraId="2D698BA3">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5</w:t>
                  </w:r>
                  <w:r>
                    <w:rPr>
                      <w:rFonts w:hint="eastAsia" w:ascii="Times New Roman" w:hAnsi="Times New Roman"/>
                      <w:bCs/>
                      <w:sz w:val="24"/>
                    </w:rPr>
                    <w:t>月</w:t>
                  </w:r>
                  <w:r>
                    <w:rPr>
                      <w:rFonts w:hint="eastAsia"/>
                      <w:bCs/>
                      <w:sz w:val="24"/>
                      <w:lang w:val="en-US" w:eastAsia="zh-CN"/>
                    </w:rPr>
                    <w:t>14</w:t>
                  </w:r>
                  <w:r>
                    <w:rPr>
                      <w:rFonts w:hint="eastAsia" w:ascii="Times New Roman" w:hAnsi="Times New Roman"/>
                      <w:bCs/>
                      <w:sz w:val="24"/>
                    </w:rPr>
                    <w:t>日</w:t>
                  </w:r>
                </w:p>
              </w:tc>
              <w:tc>
                <w:tcPr>
                  <w:tcW w:w="5741" w:type="dxa"/>
                  <w:vAlign w:val="center"/>
                </w:tcPr>
                <w:p w14:paraId="36EC99DB">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lang w:val="en-US" w:eastAsia="zh-CN"/>
                    </w:rPr>
                    <w:t>完善毕业论文，完成定稿</w:t>
                  </w:r>
                </w:p>
              </w:tc>
            </w:tr>
            <w:tr w14:paraId="502B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vAlign w:val="center"/>
                </w:tcPr>
                <w:p w14:paraId="0B512365">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bCs/>
                      <w:sz w:val="24"/>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5</w:t>
                  </w:r>
                  <w:r>
                    <w:rPr>
                      <w:rFonts w:hint="eastAsia" w:ascii="Times New Roman" w:hAnsi="Times New Roman"/>
                      <w:bCs/>
                      <w:sz w:val="24"/>
                    </w:rPr>
                    <w:t>月</w:t>
                  </w:r>
                  <w:r>
                    <w:rPr>
                      <w:rFonts w:hint="eastAsia"/>
                      <w:bCs/>
                      <w:sz w:val="24"/>
                      <w:lang w:val="en-US" w:eastAsia="zh-CN"/>
                    </w:rPr>
                    <w:t>15</w:t>
                  </w:r>
                  <w:r>
                    <w:rPr>
                      <w:rFonts w:hint="eastAsia" w:ascii="Times New Roman" w:hAnsi="Times New Roman"/>
                      <w:bCs/>
                      <w:sz w:val="24"/>
                    </w:rPr>
                    <w:t>日</w:t>
                  </w:r>
                  <w:r>
                    <w:rPr>
                      <w:rFonts w:ascii="Times New Roman" w:hAnsi="Times New Roman"/>
                      <w:bCs/>
                      <w:sz w:val="24"/>
                    </w:rPr>
                    <w:t>—</w:t>
                  </w:r>
                </w:p>
                <w:p w14:paraId="41137E52">
                  <w:pPr>
                    <w:keepNext w:val="0"/>
                    <w:keepLines w:val="0"/>
                    <w:pageBreakBefore w:val="0"/>
                    <w:kinsoku/>
                    <w:wordWrap/>
                    <w:overflowPunct/>
                    <w:topLinePunct w:val="0"/>
                    <w:autoSpaceDE/>
                    <w:autoSpaceDN/>
                    <w:bidi w:val="0"/>
                    <w:adjustRightInd/>
                    <w:snapToGrid/>
                    <w:spacing w:line="240" w:lineRule="auto"/>
                    <w:jc w:val="center"/>
                    <w:textAlignment w:val="auto"/>
                    <w:rPr>
                      <w:rFonts w:ascii="Times New Roman" w:hAnsi="Times New Roman"/>
                      <w:sz w:val="24"/>
                      <w:vertAlign w:val="baseline"/>
                    </w:rPr>
                  </w:pPr>
                  <w:r>
                    <w:rPr>
                      <w:rFonts w:hint="eastAsia" w:ascii="Times New Roman" w:hAnsi="Times New Roman"/>
                      <w:bCs/>
                      <w:sz w:val="24"/>
                      <w:lang w:val="en-US" w:eastAsia="zh-CN"/>
                    </w:rPr>
                    <w:t>202</w:t>
                  </w:r>
                  <w:r>
                    <w:rPr>
                      <w:rFonts w:hint="eastAsia"/>
                      <w:bCs/>
                      <w:sz w:val="24"/>
                      <w:lang w:val="en-US" w:eastAsia="zh-CN"/>
                    </w:rPr>
                    <w:t>6</w:t>
                  </w:r>
                  <w:r>
                    <w:rPr>
                      <w:rFonts w:hint="eastAsia" w:ascii="Times New Roman" w:hAnsi="Times New Roman"/>
                      <w:bCs/>
                      <w:sz w:val="24"/>
                      <w:lang w:val="en-US" w:eastAsia="zh-CN"/>
                    </w:rPr>
                    <w:t>年</w:t>
                  </w:r>
                  <w:r>
                    <w:rPr>
                      <w:rFonts w:hint="eastAsia"/>
                      <w:bCs/>
                      <w:sz w:val="24"/>
                      <w:lang w:val="en-US" w:eastAsia="zh-CN"/>
                    </w:rPr>
                    <w:t>5</w:t>
                  </w:r>
                  <w:r>
                    <w:rPr>
                      <w:rFonts w:hint="eastAsia" w:ascii="Times New Roman" w:hAnsi="Times New Roman"/>
                      <w:bCs/>
                      <w:sz w:val="24"/>
                    </w:rPr>
                    <w:t>月</w:t>
                  </w:r>
                  <w:r>
                    <w:rPr>
                      <w:rFonts w:hint="eastAsia"/>
                      <w:bCs/>
                      <w:sz w:val="24"/>
                      <w:lang w:val="en-US" w:eastAsia="zh-CN"/>
                    </w:rPr>
                    <w:t>31</w:t>
                  </w:r>
                  <w:r>
                    <w:rPr>
                      <w:rFonts w:hint="eastAsia" w:ascii="Times New Roman" w:hAnsi="Times New Roman"/>
                      <w:bCs/>
                      <w:sz w:val="24"/>
                    </w:rPr>
                    <w:t>日</w:t>
                  </w:r>
                </w:p>
              </w:tc>
              <w:tc>
                <w:tcPr>
                  <w:tcW w:w="5741" w:type="dxa"/>
                  <w:vAlign w:val="center"/>
                </w:tcPr>
                <w:p w14:paraId="2AB24DCC">
                  <w:pPr>
                    <w:keepNext w:val="0"/>
                    <w:keepLines w:val="0"/>
                    <w:pageBreakBefore w:val="0"/>
                    <w:kinsoku/>
                    <w:wordWrap/>
                    <w:overflowPunct/>
                    <w:topLinePunct w:val="0"/>
                    <w:autoSpaceDE/>
                    <w:autoSpaceDN/>
                    <w:bidi w:val="0"/>
                    <w:adjustRightInd/>
                    <w:snapToGrid/>
                    <w:spacing w:line="240" w:lineRule="auto"/>
                    <w:jc w:val="left"/>
                    <w:textAlignment w:val="auto"/>
                    <w:rPr>
                      <w:sz w:val="24"/>
                      <w:vertAlign w:val="baseline"/>
                    </w:rPr>
                  </w:pPr>
                  <w:r>
                    <w:rPr>
                      <w:rFonts w:hint="eastAsia" w:ascii="Times New Roman" w:hAnsi="Times New Roman"/>
                      <w:sz w:val="24"/>
                    </w:rPr>
                    <w:t>论文答辩</w:t>
                  </w:r>
                </w:p>
              </w:tc>
            </w:tr>
          </w:tbl>
          <w:p w14:paraId="7622F0E5">
            <w:pPr>
              <w:spacing w:line="360" w:lineRule="auto"/>
              <w:rPr>
                <w:rFonts w:hint="eastAsia" w:ascii="宋体" w:hAnsi="宋体" w:eastAsia="宋体" w:cs="宋体"/>
                <w:szCs w:val="24"/>
                <w:lang w:val="en-US" w:eastAsia="zh-CN"/>
              </w:rPr>
            </w:pPr>
          </w:p>
        </w:tc>
      </w:tr>
      <w:tr w14:paraId="1455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347B1328">
            <w:pPr>
              <w:spacing w:line="360" w:lineRule="auto"/>
              <w:rPr>
                <w:b/>
                <w:bCs/>
                <w:sz w:val="24"/>
              </w:rPr>
            </w:pPr>
            <w:r>
              <w:rPr>
                <w:rFonts w:hint="eastAsia"/>
                <w:b/>
                <w:bCs/>
                <w:sz w:val="24"/>
              </w:rPr>
              <w:t>五、文献综述（或调研报告）：</w:t>
            </w:r>
          </w:p>
          <w:p w14:paraId="3C4AC2DB">
            <w:pPr>
              <w:pStyle w:val="16"/>
              <w:bidi w:val="0"/>
              <w:rPr>
                <w:rFonts w:hint="eastAsia"/>
              </w:rPr>
            </w:pPr>
            <w:r>
              <w:rPr>
                <w:rFonts w:hint="eastAsia"/>
              </w:rPr>
              <w:t>随着“互联网+”战略的深入推进以及共享经济模式的迭代升级，基于Web技术的技能共享与服务预约平台已逐渐从早期的信息黄页模式演变为集实时交易、智能匹配、社交互动于一体的复杂软件生态系统。在当前的软件工程与信息系统研究领域，针对此类平台的设计与实现，学术界与产业界已在架构选型、撮合算法、信任机制构建以及用户激励模型等多个维度积累了丰富的理论成果与实践经验，为本课题的研究提供了坚实的基础。</w:t>
            </w:r>
          </w:p>
          <w:p w14:paraId="68A9CF05">
            <w:pPr>
              <w:pStyle w:val="16"/>
              <w:bidi w:val="0"/>
              <w:jc w:val="left"/>
              <w:rPr>
                <w:rFonts w:hint="eastAsia" w:eastAsia="宋体"/>
                <w:lang w:eastAsia="zh-CN"/>
              </w:rPr>
            </w:pPr>
            <w:r>
              <w:rPr>
                <w:rFonts w:hint="eastAsia"/>
              </w:rPr>
              <w:t>首先，在共享经济与服务计算的宏观背景下，国内外学者普遍认为，零工经济（Gig Economy）的核心在于通过数字化平台降低交易成本并解决信息不对称问题。以Upwork、Fiverr以及国内的猪八戒网、闲鱼为代表的现有平台，通过构建双边市场实现了服务提供者（Seller）与需求者（Buyer）的连接</w:t>
            </w:r>
            <w:r>
              <w:rPr>
                <w:rFonts w:hint="eastAsia" w:ascii="宋体" w:hAnsi="宋体" w:eastAsia="宋体" w:cs="宋体"/>
                <w:i w:val="0"/>
                <w:iCs w:val="0"/>
                <w:caps w:val="0"/>
                <w:spacing w:val="0"/>
                <w:sz w:val="24"/>
                <w:szCs w:val="24"/>
                <w:shd w:val="clear" w:fill="FFFFFF"/>
                <w:vertAlign w:val="superscript"/>
              </w:rPr>
              <w:t>[3][4]</w:t>
            </w:r>
            <w:r>
              <w:rPr>
                <w:rFonts w:hint="eastAsia"/>
              </w:rPr>
              <w:t>。相关研究指出，传统的服务预约系统主要依赖</w:t>
            </w:r>
            <w:r>
              <w:rPr>
                <w:rFonts w:hint="eastAsia"/>
                <w:lang w:eastAsia="zh-CN"/>
              </w:rPr>
              <w:t>。</w:t>
            </w:r>
          </w:p>
          <w:p w14:paraId="2104CEC9">
            <w:pPr>
              <w:pStyle w:val="16"/>
              <w:bidi w:val="0"/>
              <w:jc w:val="left"/>
              <w:rPr>
                <w:rFonts w:hint="eastAsia"/>
              </w:rPr>
            </w:pPr>
            <w:r>
              <w:rPr>
                <w:rFonts w:hint="eastAsia"/>
              </w:rPr>
              <w:t>于关系型数据库的事务处理能力（OLTP）来保障订单的一致性，但在面对海量并发请求与异构非结构化数据（如技能展示视频、富文本描述）时，传统的单体架构逐渐显露出扩展性不足的弊端。因此，近年来基于Spring Boot的微服务架构以及前后端分离（Headless）开发模式成为了主流的技术解决方案</w:t>
            </w:r>
            <w:r>
              <w:rPr>
                <w:rFonts w:hint="eastAsia" w:ascii="宋体" w:hAnsi="宋体" w:eastAsia="宋体" w:cs="宋体"/>
                <w:i w:val="0"/>
                <w:iCs w:val="0"/>
                <w:caps w:val="0"/>
                <w:spacing w:val="0"/>
                <w:sz w:val="24"/>
                <w:szCs w:val="24"/>
                <w:shd w:val="clear" w:fill="FFFFFF"/>
                <w:vertAlign w:val="superscript"/>
              </w:rPr>
              <w:t>[2]</w:t>
            </w:r>
            <w:r>
              <w:rPr>
                <w:rFonts w:hint="eastAsia"/>
              </w:rPr>
              <w:t>。文献表明，采用Vue.js等现代前端框架配合RESTful API的设计，能够有效解耦界面逻辑与业务逻辑，显著提升用户体验与系统的可维护性，这为本课题采用Spring Boot与Vue 3技术栈提供了充分的技术合理性依据</w:t>
            </w:r>
            <w:r>
              <w:rPr>
                <w:rFonts w:ascii="Segoe UI" w:hAnsi="Segoe UI" w:eastAsia="Segoe UI" w:cs="Segoe UI"/>
                <w:i w:val="0"/>
                <w:iCs w:val="0"/>
                <w:caps w:val="0"/>
                <w:spacing w:val="0"/>
                <w:sz w:val="13"/>
                <w:szCs w:val="13"/>
                <w:shd w:val="clear" w:fill="FFFFFF"/>
              </w:rPr>
              <w:t> </w:t>
            </w:r>
            <w:r>
              <w:rPr>
                <w:rFonts w:hint="eastAsia" w:ascii="宋体" w:hAnsi="宋体" w:eastAsia="宋体" w:cs="宋体"/>
                <w:i w:val="0"/>
                <w:iCs w:val="0"/>
                <w:caps w:val="0"/>
                <w:spacing w:val="0"/>
                <w:sz w:val="24"/>
                <w:szCs w:val="24"/>
                <w:shd w:val="clear" w:fill="FFFFFF"/>
                <w:vertAlign w:val="superscript"/>
              </w:rPr>
              <w:t>[1]</w:t>
            </w:r>
            <w:r>
              <w:rPr>
                <w:rFonts w:hint="eastAsia"/>
              </w:rPr>
              <w:t>。</w:t>
            </w:r>
          </w:p>
          <w:p w14:paraId="35CB9F03">
            <w:pPr>
              <w:pStyle w:val="16"/>
              <w:bidi w:val="0"/>
              <w:rPr>
                <w:rFonts w:hint="eastAsia"/>
              </w:rPr>
            </w:pPr>
            <w:r>
              <w:rPr>
                <w:rFonts w:hint="eastAsia"/>
              </w:rPr>
              <w:t>其次，关于平台用户粘性与激励机制的研究是本课题的核心切入点。传统技能共享平台往往面临“交易即走”、用户留存率低的痛点。针对这一问题，游戏化（Gamification）理论被引入软件工程领域，成为提升用户参与度的关键手段。根据Deterding等学者的定义，游戏化是指将游戏设计元素和特征用于非游戏背景中</w:t>
            </w:r>
            <w:r>
              <w:rPr>
                <w:rFonts w:hint="eastAsia" w:ascii="宋体" w:hAnsi="宋体" w:eastAsia="宋体" w:cs="宋体"/>
                <w:sz w:val="24"/>
                <w:szCs w:val="24"/>
                <w:vertAlign w:val="superscript"/>
                <w:lang w:val="en-US" w:eastAsia="zh-CN"/>
              </w:rPr>
              <w:t>[5]</w:t>
            </w:r>
            <w:r>
              <w:rPr>
                <w:rFonts w:hint="eastAsia"/>
              </w:rPr>
              <w:t>。相关实证研究显示，通过引入PBL（Points点数, Badges徽章, Leaderboards排行榜）系统，能够有效利用用户的成就动机与竞争心理，显著提高系统的活跃度（DAU）</w:t>
            </w:r>
            <w:r>
              <w:rPr>
                <w:rFonts w:hint="eastAsia" w:ascii="宋体" w:hAnsi="宋体" w:eastAsia="宋体" w:cs="宋体"/>
                <w:vertAlign w:val="superscript"/>
                <w:lang w:val="en-US" w:eastAsia="zh-CN"/>
              </w:rPr>
              <w:t>[7][8]</w:t>
            </w:r>
            <w:r>
              <w:rPr>
                <w:rFonts w:hint="eastAsia"/>
              </w:rPr>
              <w:t>。在本课题设计的“互动中心”与“任务系统”中，通过每日签到、任务奖励等机制，正是对自我决定理论（Self-Determination Theory）中关于内在动机激发的工程化实践</w:t>
            </w:r>
            <w:r>
              <w:rPr>
                <w:rFonts w:hint="eastAsia" w:ascii="宋体" w:hAnsi="宋体" w:eastAsia="宋体" w:cs="宋体"/>
                <w:vertAlign w:val="superscript"/>
                <w:lang w:val="en-US" w:eastAsia="zh-CN"/>
              </w:rPr>
              <w:t>[6]</w:t>
            </w:r>
            <w:r>
              <w:rPr>
                <w:rFonts w:hint="eastAsia"/>
              </w:rPr>
              <w:t>。目前的学术探讨已不仅仅局限于简单的积分累加，更深入到了如何通过动态反馈机制与沉浸式体验（如虚拟头衔、装饰展示）来构建长期的用户忠诚度，这证明了在预约平台中融合游戏化社交元素具有极高的研究价值与应用前景。</w:t>
            </w:r>
          </w:p>
          <w:p w14:paraId="25F334BF">
            <w:pPr>
              <w:pStyle w:val="16"/>
              <w:bidi w:val="0"/>
              <w:rPr>
                <w:rFonts w:hint="eastAsia"/>
              </w:rPr>
            </w:pPr>
            <w:r>
              <w:rPr>
                <w:rFonts w:hint="eastAsia"/>
              </w:rPr>
              <w:t>再者，经济运营模型的构建是技能共享平台能否实现商业闭环的关键。现有的C2C（Consumer to Consumer）平台大多采用单一货币结算体系，虽然简化了支付流程，但在处理平台激励与法定货币交易之间的界限时往往显得力不从心。本课题提出的“双币引擎”机制（</w:t>
            </w:r>
            <w:r>
              <w:rPr>
                <w:rFonts w:hint="eastAsia"/>
                <w:lang w:val="en-US" w:eastAsia="zh-CN"/>
              </w:rPr>
              <w:t>余额与积分</w:t>
            </w:r>
            <w:r>
              <w:rPr>
                <w:rFonts w:hint="eastAsia"/>
              </w:rPr>
              <w:t>并行）在网络游戏经济系统中已有成熟应用，但在服务类软件中尚属创新尝试</w:t>
            </w:r>
            <w:r>
              <w:rPr>
                <w:rFonts w:hint="eastAsia" w:ascii="宋体" w:hAnsi="宋体" w:eastAsia="宋体" w:cs="宋体"/>
                <w:vertAlign w:val="superscript"/>
                <w:lang w:val="en-US" w:eastAsia="zh-CN"/>
              </w:rPr>
              <w:t>[11]</w:t>
            </w:r>
            <w:r>
              <w:rPr>
                <w:rFonts w:hint="eastAsia"/>
              </w:rPr>
              <w:t>。学术界关于经济系统的研究指出，</w:t>
            </w:r>
            <w:r>
              <w:rPr>
                <w:rFonts w:hint="eastAsia"/>
                <w:lang w:val="en-US" w:eastAsia="zh-CN"/>
              </w:rPr>
              <w:t>余额与积分</w:t>
            </w:r>
            <w:r>
              <w:rPr>
                <w:rFonts w:hint="eastAsia"/>
              </w:rPr>
              <w:t>能够有效隔离法律风险与通胀风险：挂钩币用于硬通货的服务交易，需严格遵循ACID事务特性与金融安全标准；而普通货币作为一种柔性激励手段，可用于非即时价值的交换（如购买虚拟装饰），其发行与消耗可以通过算法进行动态调节以维持系统内的经济平衡</w:t>
            </w:r>
            <w:r>
              <w:rPr>
                <w:rFonts w:hint="eastAsia" w:ascii="宋体" w:hAnsi="宋体" w:eastAsia="宋体" w:cs="宋体"/>
                <w:i w:val="0"/>
                <w:iCs w:val="0"/>
                <w:caps w:val="0"/>
                <w:spacing w:val="0"/>
                <w:sz w:val="24"/>
                <w:szCs w:val="24"/>
                <w:shd w:val="clear" w:fill="FFFFFF"/>
                <w:vertAlign w:val="superscript"/>
              </w:rPr>
              <w:t> [9][12]</w:t>
            </w:r>
            <w:r>
              <w:rPr>
                <w:rFonts w:hint="eastAsia"/>
              </w:rPr>
              <w:t>。相关文献在探讨区块链通证经济与传统积分系统的融合时也提出，合理的汇率换算与提现折损逻辑（Fee Structure）是保障平台盈利与防止恶意套现的重要防火墙，这为本课题中“资产管理”与“提现逻辑”的算法设计提供了理论支撑</w:t>
            </w:r>
            <w:r>
              <w:rPr>
                <w:rFonts w:hint="eastAsia" w:ascii="宋体" w:hAnsi="宋体" w:eastAsia="宋体" w:cs="宋体"/>
                <w:i w:val="0"/>
                <w:iCs w:val="0"/>
                <w:caps w:val="0"/>
                <w:spacing w:val="0"/>
                <w:sz w:val="24"/>
                <w:szCs w:val="24"/>
                <w:shd w:val="clear" w:fill="FFFFFF"/>
                <w:vertAlign w:val="superscript"/>
              </w:rPr>
              <w:t>[10]</w:t>
            </w:r>
            <w:r>
              <w:rPr>
                <w:rFonts w:hint="eastAsia"/>
              </w:rPr>
              <w:t>。</w:t>
            </w:r>
          </w:p>
          <w:p w14:paraId="5A65EE64">
            <w:pPr>
              <w:pStyle w:val="16"/>
              <w:bidi w:val="0"/>
              <w:rPr>
                <w:rFonts w:hint="eastAsia"/>
              </w:rPr>
            </w:pPr>
            <w:r>
              <w:rPr>
                <w:rFonts w:hint="eastAsia"/>
              </w:rPr>
              <w:t>最后，从系统安全性与内容治理的角度来看，随着《网络安全法》等法规的完善，平台内容审核与实名认证已成为不可逾越的红线。基于RBAC（Role-Based Access Control）的权限管理模型是目前后台管理系统的标准配置</w:t>
            </w:r>
            <w:r>
              <w:rPr>
                <w:rFonts w:hint="eastAsia" w:ascii="宋体" w:hAnsi="宋体" w:eastAsia="宋体" w:cs="宋体"/>
                <w:i w:val="0"/>
                <w:iCs w:val="0"/>
                <w:caps w:val="0"/>
                <w:spacing w:val="0"/>
                <w:sz w:val="24"/>
                <w:szCs w:val="24"/>
                <w:shd w:val="clear" w:fill="FFFFFF"/>
                <w:vertAlign w:val="superscript"/>
              </w:rPr>
              <w:t>[13]</w:t>
            </w:r>
            <w:r>
              <w:rPr>
                <w:rFonts w:hint="eastAsia"/>
              </w:rPr>
              <w:t>。在涉及用户生成内容（UGC）如技能描述、评论互动的场景下，如何结合人工仲裁与自动化过滤机制来维护平台秩序，是软件工程领域持续关注的热点。文献调研发现，引入状态机模式（State Pattern）来管理复杂的订单流转（如从预约、支付、核销到评价、申诉的状态变更）</w:t>
            </w:r>
            <w:r>
              <w:rPr>
                <w:rFonts w:hint="eastAsia" w:ascii="宋体" w:hAnsi="宋体" w:eastAsia="宋体" w:cs="宋体"/>
                <w:i w:val="0"/>
                <w:iCs w:val="0"/>
                <w:caps w:val="0"/>
                <w:spacing w:val="0"/>
                <w:sz w:val="24"/>
                <w:szCs w:val="24"/>
                <w:shd w:val="clear" w:fill="FFFFFF"/>
                <w:vertAlign w:val="superscript"/>
              </w:rPr>
              <w:t>[14]</w:t>
            </w:r>
            <w:r>
              <w:rPr>
                <w:rFonts w:hint="eastAsia"/>
              </w:rPr>
              <w:t>，以及利用Redis缓存技术处理高并发下的库存（排期）锁定</w:t>
            </w:r>
            <w:r>
              <w:rPr>
                <w:rFonts w:ascii="Segoe UI" w:hAnsi="Segoe UI" w:eastAsia="Segoe UI" w:cs="Segoe UI"/>
                <w:i w:val="0"/>
                <w:iCs w:val="0"/>
                <w:caps w:val="0"/>
                <w:spacing w:val="0"/>
                <w:sz w:val="13"/>
                <w:szCs w:val="13"/>
                <w:shd w:val="clear" w:fill="FFFFFF"/>
              </w:rPr>
              <w:t> </w:t>
            </w:r>
            <w:r>
              <w:rPr>
                <w:rFonts w:hint="eastAsia" w:ascii="宋体" w:hAnsi="宋体" w:eastAsia="宋体" w:cs="宋体"/>
                <w:i w:val="0"/>
                <w:iCs w:val="0"/>
                <w:caps w:val="0"/>
                <w:spacing w:val="0"/>
                <w:sz w:val="24"/>
                <w:szCs w:val="24"/>
                <w:shd w:val="clear" w:fill="FFFFFF"/>
                <w:vertAlign w:val="superscript"/>
              </w:rPr>
              <w:t>[15]</w:t>
            </w:r>
            <w:r>
              <w:rPr>
                <w:rFonts w:hint="eastAsia"/>
              </w:rPr>
              <w:t>，是解决“超卖”与“数据竞争”问题的有效途径。同时，针对恶意评价与交易纠纷，构建完善的申诉仲裁功能模块，不仅是技术实现的需要，更是社会技术系统（Sociotechnical Systems）设计中对于公平性原则的体现。</w:t>
            </w:r>
            <w:r>
              <w:rPr>
                <w:rFonts w:hint="eastAsia"/>
              </w:rPr>
              <w:br w:type="textWrapping"/>
            </w:r>
            <w:r>
              <w:rPr>
                <w:rFonts w:hint="eastAsia"/>
              </w:rPr>
              <w:t>参考文献 (References)</w:t>
            </w:r>
          </w:p>
          <w:p w14:paraId="259C6699">
            <w:pPr>
              <w:pStyle w:val="17"/>
              <w:bidi w:val="0"/>
              <w:rPr>
                <w:rFonts w:hint="eastAsia"/>
              </w:rPr>
            </w:pPr>
            <w:r>
              <w:rPr>
                <w:rFonts w:hint="eastAsia"/>
              </w:rPr>
              <w:t>[1] 王鹏. 基于Vue+SpringBoot的技能交换平台的设计与实现[J]. 电子技术与软件工程, 2022(15): 185-188. (对应微服务/前后端分离)</w:t>
            </w:r>
          </w:p>
          <w:p w14:paraId="2A90AB62">
            <w:pPr>
              <w:pStyle w:val="17"/>
              <w:bidi w:val="0"/>
              <w:rPr>
                <w:rFonts w:hint="eastAsia"/>
              </w:rPr>
            </w:pPr>
            <w:r>
              <w:rPr>
                <w:rFonts w:hint="eastAsia"/>
              </w:rPr>
              <w:t>[2] 曹冬梅. 基于Spring Boot的微服务架构设计与实现[J]. 信息与电脑(理论版), 2023, 35(12): 143-145. (对应系统架构)</w:t>
            </w:r>
          </w:p>
          <w:p w14:paraId="33CAF378">
            <w:pPr>
              <w:pStyle w:val="17"/>
              <w:bidi w:val="0"/>
              <w:rPr>
                <w:rFonts w:hint="eastAsia"/>
              </w:rPr>
            </w:pPr>
            <w:r>
              <w:rPr>
                <w:rFonts w:hint="eastAsia"/>
              </w:rPr>
              <w:t>[3] Kuhn K M, Maleki A. Micro-entrepreneurship, platform mediation, and strategy: The case of Uber, Airbnb, and Upwork[J]. Academy of Management Perspectives, 2017, 31(1): 70-82. (对应Upwork/Fiverr等背景)</w:t>
            </w:r>
          </w:p>
          <w:p w14:paraId="1D7DB448">
            <w:pPr>
              <w:pStyle w:val="17"/>
              <w:bidi w:val="0"/>
              <w:rPr>
                <w:rFonts w:hint="eastAsia"/>
              </w:rPr>
            </w:pPr>
            <w:r>
              <w:rPr>
                <w:rFonts w:hint="eastAsia"/>
              </w:rPr>
              <w:t>[4] Rochet J C, Tirole J. Platform competition in two-sided markets[J]. Journal of the European Economic Association, 2003, 1(4): 990-1029. (双边市场经典文献)</w:t>
            </w:r>
          </w:p>
          <w:p w14:paraId="7A4A1528">
            <w:pPr>
              <w:pStyle w:val="17"/>
              <w:bidi w:val="0"/>
              <w:rPr>
                <w:rFonts w:hint="eastAsia"/>
              </w:rPr>
            </w:pPr>
            <w:r>
              <w:rPr>
                <w:rFonts w:hint="eastAsia"/>
              </w:rPr>
              <w:t>[5] Deterding S, Dixon D, Khaled R, et al. From game design elements to gamefulness: defining "gamification"[C]//Proceedings of the 15th International Academic MindTrek Conference. 2011: 9-15. (游戏化定义)</w:t>
            </w:r>
          </w:p>
          <w:p w14:paraId="2891CFEF">
            <w:pPr>
              <w:pStyle w:val="17"/>
              <w:bidi w:val="0"/>
              <w:rPr>
                <w:rFonts w:hint="eastAsia"/>
              </w:rPr>
            </w:pPr>
            <w:r>
              <w:rPr>
                <w:rFonts w:hint="eastAsia"/>
              </w:rPr>
              <w:t>[6] Ryan R M, Deci E L. Self-determination theory and the facilitation of intrinsic motivation, social development, and well-being[J]. American Psychologist, 2000, 55(1): 68-78. (自我决定理论)</w:t>
            </w:r>
          </w:p>
          <w:p w14:paraId="0FE8F0AE">
            <w:pPr>
              <w:pStyle w:val="17"/>
              <w:bidi w:val="0"/>
              <w:rPr>
                <w:rFonts w:hint="eastAsia"/>
              </w:rPr>
            </w:pPr>
            <w:r>
              <w:rPr>
                <w:rFonts w:hint="eastAsia"/>
              </w:rPr>
              <w:t>[7] 胡瑨. 移动互联网背景下APP游戏化设计研究[J]. 包装工程, 2021, 42(14): 112-119. (游戏化实证研究)</w:t>
            </w:r>
          </w:p>
          <w:p w14:paraId="28DDF6CD">
            <w:pPr>
              <w:pStyle w:val="17"/>
              <w:bidi w:val="0"/>
              <w:rPr>
                <w:rFonts w:hint="eastAsia"/>
              </w:rPr>
            </w:pPr>
            <w:r>
              <w:rPr>
                <w:rFonts w:hint="eastAsia"/>
              </w:rPr>
              <w:t>[8] 冯文杰, 郑炜. 基于游戏化激励机制的社区服务平台用户留存研究[J]. 情报科学, 2023, 41(05): 132-140. (对应PBL系统与用户粘性)</w:t>
            </w:r>
          </w:p>
          <w:p w14:paraId="5EDB58CE">
            <w:pPr>
              <w:pStyle w:val="17"/>
              <w:bidi w:val="0"/>
              <w:rPr>
                <w:rFonts w:hint="eastAsia"/>
              </w:rPr>
            </w:pPr>
            <w:r>
              <w:rPr>
                <w:rFonts w:hint="eastAsia"/>
              </w:rPr>
              <w:t>[9] Lehdonvirta V. Virtual item sales as a revenue model: Identifying attributes that drive purchase decisions[J]. Electronic Commerce Research, 2009, 9(1): 97-113. (对应虚拟资产/双币制逻辑)</w:t>
            </w:r>
          </w:p>
          <w:p w14:paraId="35F632F8">
            <w:pPr>
              <w:pStyle w:val="17"/>
              <w:bidi w:val="0"/>
              <w:rPr>
                <w:rFonts w:hint="eastAsia"/>
              </w:rPr>
            </w:pPr>
            <w:r>
              <w:rPr>
                <w:rFonts w:hint="eastAsia"/>
              </w:rPr>
              <w:t>[10] 袁勇, 王飞跃. 区块链通证经济与传统积分系统的融合途径研究[J]. 自动化学报, 2016, 42(04): 481-494. (对应双币/通证经济)</w:t>
            </w:r>
          </w:p>
          <w:p w14:paraId="0DAC4AA3">
            <w:pPr>
              <w:pStyle w:val="17"/>
              <w:bidi w:val="0"/>
              <w:rPr>
                <w:rFonts w:hint="eastAsia"/>
              </w:rPr>
            </w:pPr>
            <w:r>
              <w:rPr>
                <w:rFonts w:hint="eastAsia"/>
              </w:rPr>
              <w:t>[11] Castronova E. Synthetic Worlds: The Business and Culture of Online Games[M]. Chicago: University of Chicago Press, 2008. (对应虚拟经济系统构建)</w:t>
            </w:r>
          </w:p>
          <w:p w14:paraId="32D0F78B">
            <w:pPr>
              <w:pStyle w:val="17"/>
              <w:bidi w:val="0"/>
              <w:rPr>
                <w:rFonts w:hint="eastAsia"/>
              </w:rPr>
            </w:pPr>
            <w:r>
              <w:rPr>
                <w:rFonts w:hint="eastAsia"/>
              </w:rPr>
              <w:t>[12] 刘洋. 平台经济中的虚拟货币激励机制及其风险规制[J]. 法学评论, 2020(02): 85-94. (对应法律风险隔离)</w:t>
            </w:r>
          </w:p>
          <w:p w14:paraId="5E1A8CDF">
            <w:pPr>
              <w:pStyle w:val="17"/>
              <w:bidi w:val="0"/>
              <w:rPr>
                <w:rFonts w:hint="eastAsia"/>
              </w:rPr>
            </w:pPr>
            <w:r>
              <w:rPr>
                <w:rFonts w:hint="eastAsia"/>
              </w:rPr>
              <w:t>[13] Sandhu R S, Coyne E J, Feinstein H L, et al. Role-based access control models[J]. IEEE Computer, 1996, 29(2): 38-47. (RBAC权限标准)</w:t>
            </w:r>
          </w:p>
          <w:p w14:paraId="412C8E22">
            <w:pPr>
              <w:pStyle w:val="17"/>
              <w:bidi w:val="0"/>
              <w:rPr>
                <w:rFonts w:hint="eastAsia"/>
              </w:rPr>
            </w:pPr>
            <w:r>
              <w:rPr>
                <w:rFonts w:hint="eastAsia"/>
              </w:rPr>
              <w:t>[14] 刘伟. 设计模式之状态模式在电商订单系统中的应用[J]. 软件工程, 2018, 21(07): 28-31. (对应订单状态机设计)</w:t>
            </w:r>
          </w:p>
          <w:p w14:paraId="3388709F">
            <w:pPr>
              <w:pStyle w:val="17"/>
              <w:bidi w:val="0"/>
            </w:pPr>
            <w:r>
              <w:rPr>
                <w:rFonts w:hint="eastAsia"/>
              </w:rPr>
              <w:t>[15] 陈爽. 基于Redis分布式锁在高并发预约系统中的应用研究[J]. 计算机时代, 2019(11): 45-48. (对应高并发库存锁定)</w:t>
            </w:r>
          </w:p>
        </w:tc>
      </w:tr>
      <w:tr w14:paraId="4C29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8738" w:type="dxa"/>
            <w:gridSpan w:val="2"/>
            <w:tcBorders>
              <w:bottom w:val="single" w:color="auto" w:sz="4" w:space="0"/>
            </w:tcBorders>
          </w:tcPr>
          <w:p w14:paraId="3EDD7E2C">
            <w:pPr>
              <w:spacing w:line="360" w:lineRule="auto"/>
              <w:rPr>
                <w:b/>
                <w:bCs/>
                <w:sz w:val="24"/>
              </w:rPr>
            </w:pPr>
            <w:r>
              <w:rPr>
                <w:rFonts w:hint="eastAsia"/>
                <w:b/>
                <w:bCs/>
                <w:sz w:val="24"/>
              </w:rPr>
              <w:t>指导教师意见：</w:t>
            </w:r>
          </w:p>
          <w:p w14:paraId="1F343CFB">
            <w:pPr>
              <w:spacing w:line="360" w:lineRule="auto"/>
              <w:rPr>
                <w:sz w:val="24"/>
              </w:rPr>
            </w:pPr>
          </w:p>
          <w:p w14:paraId="3C8177F5">
            <w:pPr>
              <w:spacing w:line="360" w:lineRule="auto"/>
              <w:rPr>
                <w:sz w:val="24"/>
              </w:rPr>
            </w:pPr>
          </w:p>
          <w:p w14:paraId="16779613">
            <w:pPr>
              <w:ind w:firstLine="5400" w:firstLineChars="2250"/>
              <w:rPr>
                <w:sz w:val="24"/>
              </w:rPr>
            </w:pPr>
            <w:r>
              <w:rPr>
                <w:rFonts w:hint="eastAsia"/>
                <w:sz w:val="24"/>
              </w:rPr>
              <w:t>指导教师签字：</w:t>
            </w:r>
          </w:p>
          <w:p w14:paraId="2AFD22B9">
            <w:pPr>
              <w:spacing w:before="156" w:beforeLines="50"/>
              <w:ind w:right="279" w:rightChars="133"/>
              <w:jc w:val="right"/>
            </w:pPr>
            <w:r>
              <w:rPr>
                <w:rFonts w:hint="eastAsia"/>
                <w:sz w:val="24"/>
              </w:rPr>
              <w:t xml:space="preserve">                                                      年    月    日</w:t>
            </w:r>
          </w:p>
        </w:tc>
      </w:tr>
      <w:tr w14:paraId="5F09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4369" w:type="dxa"/>
            <w:tcBorders>
              <w:bottom w:val="single" w:color="auto" w:sz="4" w:space="0"/>
            </w:tcBorders>
          </w:tcPr>
          <w:p w14:paraId="27A23914">
            <w:pPr>
              <w:ind w:left="52"/>
              <w:rPr>
                <w:b/>
                <w:bCs/>
                <w:sz w:val="24"/>
              </w:rPr>
            </w:pPr>
            <w:r>
              <w:rPr>
                <w:rFonts w:hint="eastAsia"/>
                <w:b/>
                <w:bCs/>
                <w:sz w:val="24"/>
              </w:rPr>
              <w:t>所在系部审核意见：</w:t>
            </w:r>
          </w:p>
          <w:p w14:paraId="157478D4">
            <w:pPr>
              <w:ind w:left="52"/>
              <w:rPr>
                <w:sz w:val="24"/>
              </w:rPr>
            </w:pPr>
          </w:p>
          <w:p w14:paraId="304C1836">
            <w:pPr>
              <w:ind w:left="52"/>
              <w:rPr>
                <w:sz w:val="24"/>
              </w:rPr>
            </w:pPr>
          </w:p>
          <w:p w14:paraId="39B9D0F6">
            <w:pPr>
              <w:ind w:left="52"/>
              <w:rPr>
                <w:sz w:val="24"/>
              </w:rPr>
            </w:pPr>
          </w:p>
          <w:p w14:paraId="7249961F">
            <w:pPr>
              <w:adjustRightInd w:val="0"/>
              <w:snapToGrid w:val="0"/>
              <w:spacing w:line="360" w:lineRule="auto"/>
              <w:ind w:right="600"/>
              <w:jc w:val="center"/>
              <w:rPr>
                <w:rFonts w:ascii="宋体" w:hAnsi="宋体"/>
                <w:bCs/>
                <w:sz w:val="24"/>
                <w:u w:val="single"/>
              </w:rPr>
            </w:pPr>
            <w:r>
              <w:rPr>
                <w:rFonts w:hint="eastAsia"/>
                <w:sz w:val="24"/>
              </w:rPr>
              <w:t>系主任签名：</w:t>
            </w:r>
            <w:r>
              <w:rPr>
                <w:rFonts w:hint="eastAsia"/>
                <w:sz w:val="24"/>
                <w:u w:val="single"/>
              </w:rPr>
              <w:t xml:space="preserve"> </w:t>
            </w:r>
            <w:r>
              <w:rPr>
                <w:sz w:val="24"/>
                <w:u w:val="single"/>
              </w:rPr>
              <w:t xml:space="preserve">    </w:t>
            </w:r>
            <w:r>
              <w:rPr>
                <w:rFonts w:hint="eastAsia" w:ascii="宋体" w:hAnsi="宋体"/>
                <w:bCs/>
                <w:sz w:val="24"/>
                <w:u w:val="single"/>
              </w:rPr>
              <w:t xml:space="preserve"> </w:t>
            </w:r>
            <w:r>
              <w:rPr>
                <w:rFonts w:ascii="宋体" w:hAnsi="宋体"/>
                <w:bCs/>
                <w:sz w:val="24"/>
                <w:u w:val="single"/>
              </w:rPr>
              <w:t xml:space="preserve">   </w:t>
            </w:r>
          </w:p>
          <w:p w14:paraId="0FCA4D71">
            <w:pPr>
              <w:spacing w:before="156" w:beforeLines="50"/>
              <w:ind w:right="279" w:rightChars="133"/>
              <w:jc w:val="right"/>
              <w:rPr>
                <w:sz w:val="24"/>
              </w:rPr>
            </w:pP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tc>
        <w:tc>
          <w:tcPr>
            <w:tcW w:w="4369" w:type="dxa"/>
            <w:tcBorders>
              <w:bottom w:val="single" w:color="auto" w:sz="4" w:space="0"/>
            </w:tcBorders>
          </w:tcPr>
          <w:p w14:paraId="081A42F3">
            <w:pPr>
              <w:ind w:left="52"/>
              <w:rPr>
                <w:b/>
                <w:bCs/>
                <w:sz w:val="24"/>
              </w:rPr>
            </w:pPr>
            <w:r>
              <w:rPr>
                <w:rFonts w:hint="eastAsia"/>
                <w:b/>
                <w:bCs/>
                <w:sz w:val="24"/>
              </w:rPr>
              <w:t>学院意见：</w:t>
            </w:r>
          </w:p>
          <w:p w14:paraId="72871E92">
            <w:pPr>
              <w:ind w:left="52"/>
              <w:rPr>
                <w:sz w:val="24"/>
              </w:rPr>
            </w:pPr>
          </w:p>
          <w:p w14:paraId="44ACAD04">
            <w:pPr>
              <w:ind w:left="52"/>
              <w:rPr>
                <w:sz w:val="24"/>
              </w:rPr>
            </w:pPr>
          </w:p>
          <w:p w14:paraId="0EE7EC3F">
            <w:pPr>
              <w:ind w:left="52"/>
              <w:rPr>
                <w:sz w:val="24"/>
              </w:rPr>
            </w:pPr>
          </w:p>
          <w:p w14:paraId="2F765489">
            <w:pPr>
              <w:adjustRightInd w:val="0"/>
              <w:snapToGrid w:val="0"/>
              <w:spacing w:line="360" w:lineRule="auto"/>
              <w:ind w:right="600"/>
              <w:jc w:val="center"/>
              <w:rPr>
                <w:rFonts w:ascii="宋体" w:hAnsi="宋体"/>
                <w:bCs/>
                <w:sz w:val="24"/>
                <w:u w:val="single"/>
              </w:rPr>
            </w:pPr>
            <w:r>
              <w:rPr>
                <w:rFonts w:hint="eastAsia"/>
                <w:sz w:val="24"/>
              </w:rPr>
              <w:t>教学院长签名：</w:t>
            </w:r>
            <w:r>
              <w:rPr>
                <w:rFonts w:hint="eastAsia"/>
                <w:sz w:val="24"/>
                <w:u w:val="single"/>
              </w:rPr>
              <w:t xml:space="preserve"> </w:t>
            </w:r>
            <w:r>
              <w:rPr>
                <w:sz w:val="24"/>
                <w:u w:val="single"/>
              </w:rPr>
              <w:t xml:space="preserve">    </w:t>
            </w:r>
            <w:r>
              <w:rPr>
                <w:rFonts w:hint="eastAsia" w:ascii="宋体" w:hAnsi="宋体"/>
                <w:bCs/>
                <w:sz w:val="24"/>
                <w:u w:val="single"/>
              </w:rPr>
              <w:t xml:space="preserve"> </w:t>
            </w:r>
            <w:r>
              <w:rPr>
                <w:rFonts w:ascii="宋体" w:hAnsi="宋体"/>
                <w:bCs/>
                <w:sz w:val="24"/>
                <w:u w:val="single"/>
              </w:rPr>
              <w:t xml:space="preserve">   </w:t>
            </w:r>
          </w:p>
          <w:p w14:paraId="35AC4A69">
            <w:pPr>
              <w:spacing w:before="156" w:beforeLines="50"/>
              <w:ind w:right="279" w:rightChars="133"/>
              <w:jc w:val="right"/>
              <w:rPr>
                <w:sz w:val="24"/>
              </w:rPr>
            </w:pP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tc>
      </w:tr>
    </w:tbl>
    <w:p w14:paraId="45B7E3FD">
      <w:pPr>
        <w:adjustRightInd w:val="0"/>
        <w:snapToGrid w:val="0"/>
        <w:rPr>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D2A"/>
    <w:rsid w:val="000144D2"/>
    <w:rsid w:val="000243AB"/>
    <w:rsid w:val="00034BEA"/>
    <w:rsid w:val="000426FD"/>
    <w:rsid w:val="000460F2"/>
    <w:rsid w:val="00046641"/>
    <w:rsid w:val="00060792"/>
    <w:rsid w:val="000725FC"/>
    <w:rsid w:val="00097AE8"/>
    <w:rsid w:val="000F5121"/>
    <w:rsid w:val="00115C78"/>
    <w:rsid w:val="00124DA4"/>
    <w:rsid w:val="001266D2"/>
    <w:rsid w:val="00181E6F"/>
    <w:rsid w:val="001B4D36"/>
    <w:rsid w:val="001D3416"/>
    <w:rsid w:val="0020693A"/>
    <w:rsid w:val="00207A86"/>
    <w:rsid w:val="00236BA3"/>
    <w:rsid w:val="00243D2A"/>
    <w:rsid w:val="00273CC7"/>
    <w:rsid w:val="002C0B77"/>
    <w:rsid w:val="00307A0F"/>
    <w:rsid w:val="00310BDF"/>
    <w:rsid w:val="0032245C"/>
    <w:rsid w:val="00355FEC"/>
    <w:rsid w:val="003714C1"/>
    <w:rsid w:val="0037600A"/>
    <w:rsid w:val="0039662B"/>
    <w:rsid w:val="00397214"/>
    <w:rsid w:val="003B2F57"/>
    <w:rsid w:val="003D428A"/>
    <w:rsid w:val="003E63B8"/>
    <w:rsid w:val="00422C14"/>
    <w:rsid w:val="00434A8F"/>
    <w:rsid w:val="00492DF3"/>
    <w:rsid w:val="004D51A9"/>
    <w:rsid w:val="005055A6"/>
    <w:rsid w:val="00517C81"/>
    <w:rsid w:val="00565018"/>
    <w:rsid w:val="005714C6"/>
    <w:rsid w:val="00584702"/>
    <w:rsid w:val="00590C99"/>
    <w:rsid w:val="005A63E9"/>
    <w:rsid w:val="005A6C3A"/>
    <w:rsid w:val="005D6357"/>
    <w:rsid w:val="005E06E2"/>
    <w:rsid w:val="0062743D"/>
    <w:rsid w:val="00632B9D"/>
    <w:rsid w:val="00643BC4"/>
    <w:rsid w:val="00650B82"/>
    <w:rsid w:val="0067372D"/>
    <w:rsid w:val="006C5695"/>
    <w:rsid w:val="006C62F5"/>
    <w:rsid w:val="006D2C55"/>
    <w:rsid w:val="006E0F10"/>
    <w:rsid w:val="0076626A"/>
    <w:rsid w:val="00784806"/>
    <w:rsid w:val="00795709"/>
    <w:rsid w:val="00843544"/>
    <w:rsid w:val="008534FC"/>
    <w:rsid w:val="008A3715"/>
    <w:rsid w:val="008D22F1"/>
    <w:rsid w:val="0090530C"/>
    <w:rsid w:val="00953AFE"/>
    <w:rsid w:val="00967D75"/>
    <w:rsid w:val="0097373C"/>
    <w:rsid w:val="009A0E83"/>
    <w:rsid w:val="009A32D5"/>
    <w:rsid w:val="009A7612"/>
    <w:rsid w:val="00A438C3"/>
    <w:rsid w:val="00AB2006"/>
    <w:rsid w:val="00B537E7"/>
    <w:rsid w:val="00B56F8E"/>
    <w:rsid w:val="00B63E4C"/>
    <w:rsid w:val="00B92A50"/>
    <w:rsid w:val="00C34A8B"/>
    <w:rsid w:val="00C35351"/>
    <w:rsid w:val="00C942CA"/>
    <w:rsid w:val="00CD3430"/>
    <w:rsid w:val="00CF6730"/>
    <w:rsid w:val="00D01401"/>
    <w:rsid w:val="00D43D79"/>
    <w:rsid w:val="00D460A3"/>
    <w:rsid w:val="00D50C17"/>
    <w:rsid w:val="00D72665"/>
    <w:rsid w:val="00D858F7"/>
    <w:rsid w:val="00DD4D68"/>
    <w:rsid w:val="00DF4288"/>
    <w:rsid w:val="00E219B5"/>
    <w:rsid w:val="00E61B9A"/>
    <w:rsid w:val="00E70C45"/>
    <w:rsid w:val="00E9133E"/>
    <w:rsid w:val="00EB6854"/>
    <w:rsid w:val="00EE7927"/>
    <w:rsid w:val="00F15404"/>
    <w:rsid w:val="00F336FF"/>
    <w:rsid w:val="00FA56A0"/>
    <w:rsid w:val="00FC6D33"/>
    <w:rsid w:val="02E5725D"/>
    <w:rsid w:val="0350563A"/>
    <w:rsid w:val="03D90444"/>
    <w:rsid w:val="04030F36"/>
    <w:rsid w:val="054D2E98"/>
    <w:rsid w:val="065F74AD"/>
    <w:rsid w:val="073065CD"/>
    <w:rsid w:val="0744323E"/>
    <w:rsid w:val="077D67F1"/>
    <w:rsid w:val="08017F69"/>
    <w:rsid w:val="08EF7874"/>
    <w:rsid w:val="09C13E54"/>
    <w:rsid w:val="0A6A2895"/>
    <w:rsid w:val="0ABB08A3"/>
    <w:rsid w:val="0D78476A"/>
    <w:rsid w:val="0E0A277C"/>
    <w:rsid w:val="0E356BBF"/>
    <w:rsid w:val="0E7C3B7F"/>
    <w:rsid w:val="0FA97864"/>
    <w:rsid w:val="11F50B3F"/>
    <w:rsid w:val="1218482D"/>
    <w:rsid w:val="163F682C"/>
    <w:rsid w:val="16A50D85"/>
    <w:rsid w:val="1853036D"/>
    <w:rsid w:val="190A7793"/>
    <w:rsid w:val="19D35C0A"/>
    <w:rsid w:val="1A366198"/>
    <w:rsid w:val="1C471391"/>
    <w:rsid w:val="1D321434"/>
    <w:rsid w:val="1E0068A1"/>
    <w:rsid w:val="20205BFE"/>
    <w:rsid w:val="202866BE"/>
    <w:rsid w:val="21D97B35"/>
    <w:rsid w:val="2239137B"/>
    <w:rsid w:val="22877591"/>
    <w:rsid w:val="244E3B80"/>
    <w:rsid w:val="24C148B0"/>
    <w:rsid w:val="25D647F8"/>
    <w:rsid w:val="276A6A1E"/>
    <w:rsid w:val="28017DE6"/>
    <w:rsid w:val="29565F0F"/>
    <w:rsid w:val="29656152"/>
    <w:rsid w:val="2AE13EFE"/>
    <w:rsid w:val="2BC25ADE"/>
    <w:rsid w:val="2CD31625"/>
    <w:rsid w:val="2D41670A"/>
    <w:rsid w:val="2DA532B1"/>
    <w:rsid w:val="2E180404"/>
    <w:rsid w:val="2EE16EB1"/>
    <w:rsid w:val="2FEB727A"/>
    <w:rsid w:val="2FEF49C8"/>
    <w:rsid w:val="318C4BC4"/>
    <w:rsid w:val="32627778"/>
    <w:rsid w:val="33812D79"/>
    <w:rsid w:val="33860852"/>
    <w:rsid w:val="34C401D1"/>
    <w:rsid w:val="3578720D"/>
    <w:rsid w:val="36CB1A5C"/>
    <w:rsid w:val="38284F1B"/>
    <w:rsid w:val="3A9B19D4"/>
    <w:rsid w:val="3C3D6D89"/>
    <w:rsid w:val="3C687FDC"/>
    <w:rsid w:val="3CE6634A"/>
    <w:rsid w:val="3D146E96"/>
    <w:rsid w:val="3D2C1009"/>
    <w:rsid w:val="3DC47494"/>
    <w:rsid w:val="3DDA2813"/>
    <w:rsid w:val="3EC11C25"/>
    <w:rsid w:val="3F964E60"/>
    <w:rsid w:val="415B75FC"/>
    <w:rsid w:val="42753EA0"/>
    <w:rsid w:val="44625310"/>
    <w:rsid w:val="45260A34"/>
    <w:rsid w:val="46E666CD"/>
    <w:rsid w:val="46F506BE"/>
    <w:rsid w:val="48FD385A"/>
    <w:rsid w:val="4B885FA4"/>
    <w:rsid w:val="4BD44D46"/>
    <w:rsid w:val="4BF47196"/>
    <w:rsid w:val="4E330F87"/>
    <w:rsid w:val="4F035942"/>
    <w:rsid w:val="50412BC6"/>
    <w:rsid w:val="50487AB0"/>
    <w:rsid w:val="50E41B7A"/>
    <w:rsid w:val="52270757"/>
    <w:rsid w:val="539A0F3A"/>
    <w:rsid w:val="55050666"/>
    <w:rsid w:val="55216226"/>
    <w:rsid w:val="57782D99"/>
    <w:rsid w:val="59260BAB"/>
    <w:rsid w:val="5A8E3975"/>
    <w:rsid w:val="5AC5399A"/>
    <w:rsid w:val="5AF0321E"/>
    <w:rsid w:val="5CBF47F4"/>
    <w:rsid w:val="5D350B48"/>
    <w:rsid w:val="5D92680F"/>
    <w:rsid w:val="5FA016B7"/>
    <w:rsid w:val="5FDE21DF"/>
    <w:rsid w:val="609B3C10"/>
    <w:rsid w:val="61AD00BB"/>
    <w:rsid w:val="61D5316E"/>
    <w:rsid w:val="6232236E"/>
    <w:rsid w:val="631B349F"/>
    <w:rsid w:val="661F0E5C"/>
    <w:rsid w:val="687C07E7"/>
    <w:rsid w:val="69D97933"/>
    <w:rsid w:val="6A7E0847"/>
    <w:rsid w:val="6AF243BB"/>
    <w:rsid w:val="6B3B2294"/>
    <w:rsid w:val="6C7041BF"/>
    <w:rsid w:val="6CC81EFD"/>
    <w:rsid w:val="6E6935BC"/>
    <w:rsid w:val="6FCA1E38"/>
    <w:rsid w:val="6FD1766A"/>
    <w:rsid w:val="70207CAA"/>
    <w:rsid w:val="706F478E"/>
    <w:rsid w:val="71017ADB"/>
    <w:rsid w:val="724A34C0"/>
    <w:rsid w:val="73AF51C4"/>
    <w:rsid w:val="76D02C53"/>
    <w:rsid w:val="7AD718AD"/>
    <w:rsid w:val="7B0C77A9"/>
    <w:rsid w:val="7BD1454E"/>
    <w:rsid w:val="7EB02430"/>
    <w:rsid w:val="7EB97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4">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Body Text Indent"/>
    <w:basedOn w:val="1"/>
    <w:link w:val="15"/>
    <w:unhideWhenUsed/>
    <w:qFormat/>
    <w:uiPriority w:val="0"/>
    <w:pPr>
      <w:spacing w:line="360" w:lineRule="exact"/>
      <w:ind w:left="538" w:hanging="538" w:hangingChars="192"/>
    </w:pPr>
    <w:rPr>
      <w:sz w:val="28"/>
    </w:rPr>
  </w:style>
  <w:style w:type="paragraph" w:styleId="7">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字符"/>
    <w:basedOn w:val="12"/>
    <w:link w:val="8"/>
    <w:qFormat/>
    <w:uiPriority w:val="99"/>
    <w:rPr>
      <w:sz w:val="18"/>
      <w:szCs w:val="18"/>
    </w:rPr>
  </w:style>
  <w:style w:type="character" w:customStyle="1" w:styleId="14">
    <w:name w:val="页脚 字符"/>
    <w:basedOn w:val="12"/>
    <w:link w:val="7"/>
    <w:qFormat/>
    <w:uiPriority w:val="99"/>
    <w:rPr>
      <w:sz w:val="18"/>
      <w:szCs w:val="18"/>
    </w:rPr>
  </w:style>
  <w:style w:type="character" w:customStyle="1" w:styleId="15">
    <w:name w:val="正文文本缩进 字符"/>
    <w:basedOn w:val="12"/>
    <w:link w:val="6"/>
    <w:semiHidden/>
    <w:qFormat/>
    <w:uiPriority w:val="0"/>
    <w:rPr>
      <w:rFonts w:ascii="Times New Roman" w:hAnsi="Times New Roman" w:eastAsia="宋体" w:cs="Times New Roman"/>
      <w:sz w:val="28"/>
      <w:szCs w:val="24"/>
    </w:rPr>
  </w:style>
  <w:style w:type="paragraph" w:customStyle="1" w:styleId="16">
    <w:name w:val="论文正文"/>
    <w:basedOn w:val="1"/>
    <w:link w:val="18"/>
    <w:qFormat/>
    <w:uiPriority w:val="0"/>
    <w:pPr>
      <w:spacing w:line="360" w:lineRule="auto"/>
      <w:ind w:firstLine="880" w:firstLineChars="200"/>
    </w:pPr>
    <w:rPr>
      <w:sz w:val="24"/>
    </w:rPr>
  </w:style>
  <w:style w:type="paragraph" w:customStyle="1" w:styleId="17">
    <w:name w:val="参考文献"/>
    <w:basedOn w:val="1"/>
    <w:qFormat/>
    <w:uiPriority w:val="0"/>
    <w:pPr>
      <w:spacing w:line="240" w:lineRule="auto"/>
      <w:ind w:firstLine="330" w:firstLineChars="75"/>
    </w:pPr>
    <w:rPr>
      <w:rFonts w:hint="default" w:ascii="Times New Roman" w:hAnsi="Times New Roman" w:eastAsia="宋体"/>
      <w:sz w:val="18"/>
    </w:rPr>
  </w:style>
  <w:style w:type="character" w:customStyle="1" w:styleId="18">
    <w:name w:val="论文正文 Char"/>
    <w:link w:val="16"/>
    <w:qFormat/>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27A90-6996-4D52-93ED-7894618D834D}">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2082</Words>
  <Characters>2220</Characters>
  <Lines>5</Lines>
  <Paragraphs>1</Paragraphs>
  <TotalTime>0</TotalTime>
  <ScaleCrop>false</ScaleCrop>
  <LinksUpToDate>false</LinksUpToDate>
  <CharactersWithSpaces>2305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2021-09-25T09:39:00Z</dcterms:created>
  <dc:creator>磊</dc:creator>
  <cp:lastModifiedBy>Hsk</cp:lastModifiedBy>
  <dcterms:modified xsi:type="dcterms:W3CDTF">2025-12-30T08:20:01Z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eyJoZGlkIjoiODdlYjc5YmNjZjIyMzQwZGE3OThkMzUwOWI2YWVhMTIiLCJ1c2VySWQiOiIxNTQ5NDk2MTQ5In0=</vt:lpwstr>
  </property>
  <property fmtid="{D5CDD505-2E9C-101B-9397-08002B2CF9AE}" pid="3" name="KSOProductBuildVer">
    <vt:lpwstr>2052-12.1.0.20305</vt:lpwstr>
  </property>
  <property fmtid="{D5CDD505-2E9C-101B-9397-08002B2CF9AE}" pid="4" name="ICV">
    <vt:lpwstr>24DA935B117140CB83F16FA0F422CC05_12</vt:lpwstr>
  </property>
</Properties>
</file>