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Developer Implementation Guide</w:t>
      </w:r>
    </w:p>
    <w:p>
      <w:pPr>
        <w:jc w:val="left"/>
      </w:pPr>
      <w:r>
        <w:rPr>
          <w:b/>
          <w:color w:val="415569"/>
          <w:sz w:val="28"/>
        </w:rPr>
        <w:t>AI Social-Commerce Shop Automation Platform</w:t>
      </w:r>
    </w:p>
    <w:p>
      <w:r>
        <w:t>Purpose: give product, frontend, backend, AI, voice, QA, and operations engineers a shared implementation baseline derived from the approved SRS and companion architecture. The SRS remains the authority for product scope and requirement IDs; this guide explains how to implement that scope consistently.</w:t>
      </w:r>
    </w:p>
    <w:p>
      <w:r>
        <w:t>Source documents: SRS_Document_Detailed_v4_Voice_BulkWhatsApp.docx (Version 4.0) and System_Architecture_and_Development_Flow_Python_React.docx. Where they do not define an implementation choice, this guide labels it as a proposal or an open decision rather than a settled fact.</w:t>
      </w:r>
    </w:p>
    <w:p>
      <w:pPr>
        <w:pStyle w:val="Heading1"/>
      </w:pPr>
      <w:r>
        <w:t>1. Product and engineering goals</w:t>
      </w:r>
    </w:p>
    <w:p>
      <w:r>
        <w:t>Build a multi-tenant SaaS operations platform through which merchants manage products or services, customer conversations, orders, payments, delivery, marketing, finance, and automations. Customer interactions may arrive as chat, voice notes, or live phone calls. Text and voice must share the same intent, policy, and business-action path after speech recognition.</w:t>
      </w:r>
    </w:p>
    <w:p>
      <w:pPr>
        <w:pStyle w:val="ListBullet"/>
      </w:pPr>
      <w:r>
        <w:t>Keep tenant data and permissions isolated on every request and background job.</w:t>
      </w:r>
    </w:p>
    <w:p>
      <w:pPr>
        <w:pStyle w:val="ListBullet"/>
      </w:pPr>
      <w:r>
        <w:t>Make transactional actions auditable, idempotent, and safe to retry.</w:t>
      </w:r>
    </w:p>
    <w:p>
      <w:pPr>
        <w:pStyle w:val="ListBullet"/>
      </w:pPr>
      <w:r>
        <w:t>Use human review for low-confidence or sensitive actions; autopilot is an explicit shop-level choice.</w:t>
      </w:r>
    </w:p>
    <w:p>
      <w:pPr>
        <w:pStyle w:val="ListBullet"/>
      </w:pPr>
      <w:r>
        <w:t>Keep providers, business categories, document templates, and dialect packs configurable.</w:t>
      </w:r>
    </w:p>
    <w:p>
      <w:pPr>
        <w:pStyle w:val="ListBullet"/>
      </w:pPr>
      <w:r>
        <w:t>Ship a useful responsive web product first; native mobile apps and other SRS out-of-scope items are not launch requirements.</w:t>
      </w:r>
    </w:p>
    <w:p>
      <w:pPr>
        <w:pStyle w:val="Heading1"/>
      </w:pPr>
      <w:r>
        <w:t>2. Architecture baseline</w:t>
      </w:r>
    </w:p>
    <w:p>
      <w:r>
        <w:t>The architecture document presents five logical layers. The SRS describes a Python modular monolith as the initial backend direction, with the option to extract independently scaled services later. Treat the layers below as boundaries and responsibilities, not a requirement to deploy every module as a separate service at launch.</w:t>
      </w:r>
    </w:p>
    <w:tbl>
      <w:tblPr>
        <w:tblStyle w:val="LightShading-Accent1"/>
        <w:tblW w:type="auto" w:w="0"/>
        <w:jc w:val="center"/>
        <w:tblLook w:firstColumn="1" w:firstRow="1" w:lastColumn="0" w:lastRow="0" w:noHBand="0" w:noVBand="1" w:val="04A0"/>
      </w:tblPr>
      <w:tblGrid>
        <w:gridCol w:w="3312"/>
        <w:gridCol w:w="3312"/>
        <w:gridCol w:w="3312"/>
      </w:tblGrid>
      <w:tr>
        <w:tc>
          <w:tcPr>
            <w:tcW w:type="dxa" w:w="1872"/>
            <w:shd w:fill="1A4B73"/>
          </w:tcPr>
          <w:p>
            <w:r>
              <w:rPr>
                <w:b/>
                <w:color w:val="FFFFFF"/>
              </w:rPr>
              <w:t>Layer</w:t>
            </w:r>
          </w:p>
        </w:tc>
        <w:tc>
          <w:tcPr>
            <w:tcW w:type="dxa" w:w="4968"/>
            <w:shd w:fill="1A4B73"/>
          </w:tcPr>
          <w:p>
            <w:r>
              <w:rPr>
                <w:b/>
                <w:color w:val="FFFFFF"/>
              </w:rPr>
              <w:t>Responsibilities</w:t>
            </w:r>
          </w:p>
        </w:tc>
        <w:tc>
          <w:tcPr>
            <w:tcW w:type="dxa" w:w="3096"/>
            <w:shd w:fill="1A4B73"/>
          </w:tcPr>
          <w:p>
            <w:r>
              <w:rPr>
                <w:b/>
                <w:color w:val="FFFFFF"/>
              </w:rPr>
              <w:t>Main boundary</w:t>
            </w:r>
          </w:p>
        </w:tc>
      </w:tr>
      <w:tr>
        <w:tc>
          <w:tcPr>
            <w:tcW w:type="dxa" w:w="1872"/>
            <w:vAlign w:val="center"/>
          </w:tcPr>
          <w:p>
            <w:r>
              <w:t>Client</w:t>
            </w:r>
          </w:p>
        </w:tc>
        <w:tc>
          <w:tcPr>
            <w:tcW w:type="dxa" w:w="4968"/>
            <w:vAlign w:val="center"/>
          </w:tcPr>
          <w:p>
            <w:r>
              <w:t>React + TypeScript merchant console; responsive layouts; customer channel surfaces and embedded widgets.</w:t>
            </w:r>
          </w:p>
        </w:tc>
        <w:tc>
          <w:tcPr>
            <w:tcW w:type="dxa" w:w="3096"/>
            <w:vAlign w:val="center"/>
          </w:tcPr>
          <w:p>
            <w:r>
              <w:t>Browser/API and realtime connections.</w:t>
            </w:r>
          </w:p>
        </w:tc>
      </w:tr>
      <w:tr>
        <w:tc>
          <w:tcPr>
            <w:tcW w:type="dxa" w:w="1872"/>
            <w:vAlign w:val="center"/>
          </w:tcPr>
          <w:p>
            <w:r>
              <w:t>Edge and gateway</w:t>
            </w:r>
          </w:p>
        </w:tc>
        <w:tc>
          <w:tcPr>
            <w:tcW w:type="dxa" w:w="4968"/>
            <w:vAlign w:val="center"/>
          </w:tcPr>
          <w:p>
            <w:r>
              <w:t>Authentication entry point, tenant-aware rate limits, routing, provider webhooks, realtime inbox and audio streaming.</w:t>
            </w:r>
          </w:p>
        </w:tc>
        <w:tc>
          <w:tcPr>
            <w:tcW w:type="dxa" w:w="3096"/>
            <w:vAlign w:val="center"/>
          </w:tcPr>
          <w:p>
            <w:r>
              <w:t>REST/GraphQL or documented API; WebSocket/audio; signed webhooks.</w:t>
            </w:r>
          </w:p>
        </w:tc>
      </w:tr>
      <w:tr>
        <w:tc>
          <w:tcPr>
            <w:tcW w:type="dxa" w:w="1872"/>
            <w:vAlign w:val="center"/>
          </w:tcPr>
          <w:p>
            <w:r>
              <w:t>Application and AI</w:t>
            </w:r>
          </w:p>
        </w:tc>
        <w:tc>
          <w:tcPr>
            <w:tcW w:type="dxa" w:w="4968"/>
            <w:vAlign w:val="center"/>
          </w:tcPr>
          <w:p>
            <w:r>
              <w:t>Identity/tenant, catalogue/inventory, conversations, orders/payments/delivery, finance/documents, AI orchestration, speech, automation.</w:t>
            </w:r>
          </w:p>
        </w:tc>
        <w:tc>
          <w:tcPr>
            <w:tcW w:type="dxa" w:w="3096"/>
            <w:vAlign w:val="center"/>
          </w:tcPr>
          <w:p>
            <w:r>
              <w:t>Internal module interfaces and domain events.</w:t>
            </w:r>
          </w:p>
        </w:tc>
      </w:tr>
      <w:tr>
        <w:tc>
          <w:tcPr>
            <w:tcW w:type="dxa" w:w="1872"/>
            <w:vAlign w:val="center"/>
          </w:tcPr>
          <w:p>
            <w:r>
              <w:t>Data</w:t>
            </w:r>
          </w:p>
        </w:tc>
        <w:tc>
          <w:tcPr>
            <w:tcW w:type="dxa" w:w="4968"/>
            <w:vAlign w:val="center"/>
          </w:tcPr>
          <w:p>
            <w:r>
              <w:t>Relational transactional records, object/media storage, search/analytics projections, cache/sessions, event queue.</w:t>
            </w:r>
          </w:p>
        </w:tc>
        <w:tc>
          <w:tcPr>
            <w:tcW w:type="dxa" w:w="3096"/>
            <w:vAlign w:val="center"/>
          </w:tcPr>
          <w:p>
            <w:r>
              <w:t>Persistence interfaces; no cross-tenant reads.</w:t>
            </w:r>
          </w:p>
        </w:tc>
      </w:tr>
      <w:tr>
        <w:tc>
          <w:tcPr>
            <w:tcW w:type="dxa" w:w="1872"/>
            <w:vAlign w:val="center"/>
          </w:tcPr>
          <w:p>
            <w:r>
              <w:t>External integrations</w:t>
            </w:r>
          </w:p>
        </w:tc>
        <w:tc>
          <w:tcPr>
            <w:tcW w:type="dxa" w:w="4968"/>
            <w:vAlign w:val="center"/>
          </w:tcPr>
          <w:p>
            <w:r>
              <w:t>Messaging, telephony/VoIP, payment, courier, marketplace/storefront, productivity and AI providers.</w:t>
            </w:r>
          </w:p>
        </w:tc>
        <w:tc>
          <w:tcPr>
            <w:tcW w:type="dxa" w:w="3096"/>
            <w:vAlign w:val="center"/>
          </w:tcPr>
          <w:p>
            <w:r>
              <w:t>Provider adapters; credentials never leak to clients.</w:t>
            </w:r>
          </w:p>
        </w:tc>
      </w:tr>
    </w:tbl>
    <w:p/>
    <w:p>
      <w:r>
        <w:t>Suggested initial deployment: one Python application organized into explicit modules, with worker processes for asynchronous tasks and a separate realtime/voice runtime only where operational needs justify it. The feature/technology analysis proposes FastAPI, PostgreSQL with pgvector, Redis, Celery, Docker, and Kubernetes. Confirm these as the team’s actual platform choices before implementation; the architecture DOCX does not fully specify infrastructure versions or deployment topology.</w:t>
      </w:r>
    </w:p>
    <w:p>
      <w:pPr>
        <w:pStyle w:val="Heading2"/>
      </w:pPr>
      <w:r>
        <w:t>2.1 Suggested code organization</w:t>
      </w:r>
    </w:p>
    <w:p>
      <w:r>
        <w:t>This is a starting layout, not a description of an existing repository:</w:t>
      </w:r>
    </w:p>
    <w:p>
      <w:pPr>
        <w:pStyle w:val="ListBullet"/>
      </w:pPr>
      <w:r>
        <w:t>apps/web/ — React/TypeScript UI, route modules, shared components and API client</w:t>
      </w:r>
    </w:p>
    <w:p>
      <w:pPr>
        <w:pStyle w:val="ListBullet"/>
      </w:pPr>
      <w:r>
        <w:t>backend/app/api/ — HTTP routes, request validation and response schemas</w:t>
      </w:r>
    </w:p>
    <w:p>
      <w:pPr>
        <w:pStyle w:val="ListBullet"/>
      </w:pPr>
      <w:r>
        <w:t>backend/app/modules/{identity,catalogue,inventory,conversation,orders,payments,delivery,finance,documents,automation}/ — business rules and persistence</w:t>
      </w:r>
    </w:p>
    <w:p>
      <w:pPr>
        <w:pStyle w:val="ListBullet"/>
      </w:pPr>
      <w:r>
        <w:t>backend/app/ai/ — orchestrator, policies, NLU and model/provider interfaces</w:t>
      </w:r>
    </w:p>
    <w:p>
      <w:pPr>
        <w:pStyle w:val="ListBullet"/>
      </w:pPr>
      <w:r>
        <w:t>backend/app/voice/ — call sessions, ASR/TTS adapters, dialect selection and human handoff</w:t>
      </w:r>
    </w:p>
    <w:p>
      <w:pPr>
        <w:pStyle w:val="ListBullet"/>
      </w:pPr>
      <w:r>
        <w:t>backend/app/integrations/ — channel, telephony, payment, courier and marketplace adapters</w:t>
      </w:r>
    </w:p>
    <w:p>
      <w:pPr>
        <w:pStyle w:val="ListBullet"/>
      </w:pPr>
      <w:r>
        <w:t>backend/app/events/ — event definitions, publishing and consumers</w:t>
      </w:r>
    </w:p>
    <w:p>
      <w:pPr>
        <w:pStyle w:val="ListBullet"/>
      </w:pPr>
      <w:r>
        <w:t>backend/migrations/ — versioned database changes</w:t>
      </w:r>
    </w:p>
    <w:p>
      <w:pPr>
        <w:pStyle w:val="ListBullet"/>
      </w:pPr>
      <w:r>
        <w:t>deploy/ — container, environment and infrastructure configuration</w:t>
      </w:r>
    </w:p>
    <w:p>
      <w:pPr>
        <w:pStyle w:val="ListBullet"/>
      </w:pPr>
      <w:r>
        <w:t>docs/ — API contracts, runbooks, ADRs and operational procedures</w:t>
      </w:r>
    </w:p>
    <w:p>
      <w:pPr>
        <w:pStyle w:val="Heading1"/>
      </w:pPr>
      <w:r>
        <w:t>3. Core request and event flows</w:t>
      </w:r>
    </w:p>
    <w:p>
      <w:pPr>
        <w:pStyle w:val="Heading2"/>
      </w:pPr>
      <w:r>
        <w:t>3.1 Chat message or comment</w:t>
      </w:r>
    </w:p>
    <w:p>
      <w:pPr>
        <w:pStyle w:val="ListNumber"/>
      </w:pPr>
      <w:r>
        <w:t>Provider webhook is verified, normalized by its channel adapter, assigned to a Shop, and acknowledged promptly.</w:t>
      </w:r>
    </w:p>
    <w:p>
      <w:pPr>
        <w:pStyle w:val="ListNumber"/>
      </w:pPr>
      <w:r>
        <w:t>Conversation service stores the inbound event idempotently and updates the unified inbox.</w:t>
      </w:r>
    </w:p>
    <w:p>
      <w:pPr>
        <w:pStyle w:val="ListNumber"/>
      </w:pPr>
      <w:r>
        <w:t>AI orchestration receives a domain event; NLU extracts intent and entities and loads only the Shop’s permitted context.</w:t>
      </w:r>
    </w:p>
    <w:p>
      <w:pPr>
        <w:pStyle w:val="ListNumber"/>
      </w:pPr>
      <w:r>
        <w:t>Policy evaluates confidence, shop settings, permissions, and action sensitivity. The system drafts, escalates, or invokes a business command.</w:t>
      </w:r>
    </w:p>
    <w:p>
      <w:pPr>
        <w:pStyle w:val="ListNumber"/>
      </w:pPr>
      <w:r>
        <w:t>A reply is sent through the channel adapter; delivery state and decision metadata are recorded. Dashboard updates are published for realtime subscribers.</w:t>
      </w:r>
    </w:p>
    <w:p>
      <w:pPr>
        <w:pStyle w:val="Heading2"/>
      </w:pPr>
      <w:r>
        <w:t>3.2 Voice note and live call</w:t>
      </w:r>
    </w:p>
    <w:p>
      <w:pPr>
        <w:pStyle w:val="ListNumber"/>
      </w:pPr>
      <w:r>
        <w:t>Accept audio or establish a telephony session; validate provider signature and bind it to the correct Shop and customer.</w:t>
      </w:r>
    </w:p>
    <w:p>
      <w:pPr>
        <w:pStyle w:val="ListNumber"/>
      </w:pPr>
      <w:r>
        <w:t>Store media in protected object storage and create a conversation/call record with consent/recording metadata where applicable.</w:t>
      </w:r>
    </w:p>
    <w:p>
      <w:pPr>
        <w:pStyle w:val="ListNumber"/>
      </w:pPr>
      <w:r>
        <w:t>Run ASR and language/dialect detection; retain model and version metadata with transcript segments and confidence.</w:t>
      </w:r>
    </w:p>
    <w:p>
      <w:pPr>
        <w:pStyle w:val="ListNumber"/>
      </w:pPr>
      <w:r>
        <w:t>Feed recognized text through the same NLU, policy, and business-action path used by chat.</w:t>
      </w:r>
    </w:p>
    <w:p>
      <w:pPr>
        <w:pStyle w:val="ListNumber"/>
      </w:pPr>
      <w:r>
        <w:t>For live calls, synthesize the response and stream it to the caller; monitor latency and allow agent handoff.</w:t>
      </w:r>
    </w:p>
    <w:p>
      <w:pPr>
        <w:pStyle w:val="ListNumber"/>
      </w:pPr>
      <w:r>
        <w:t>On ASR, AI, or provider failure, fail over to the configured human queue or voicemail/callback response. On completion, persist outcome, transcript, audit events, usage, and applicable retention state.</w:t>
      </w:r>
    </w:p>
    <w:p>
      <w:r>
        <w:t>Keep speech input/output adapters independent from the shared conversation and business logic. Dialect models must be versioned and individually switchable/rollbackable. Unsupported or low-confidence dialect handling must use the SRS human-in-the-loop path; do not silently present uncertain transcription as verified fact.</w:t>
      </w:r>
    </w:p>
    <w:p>
      <w:pPr>
        <w:pStyle w:val="Heading2"/>
      </w:pPr>
      <w:r>
        <w:t>3.3 Transactional business actions</w:t>
      </w:r>
    </w:p>
    <w:p>
      <w:r>
        <w:t>Commands that change stock, orders, payments, delivery state, or issue documents must use a transaction boundary, idempotency key, permission check, and audit record. Publish downstream events only after the database transaction commits, using a reliable outbox or an equivalent mechanism selected by the team. Consumers must be safe to retry and tolerate duplicate delivery.</w:t>
      </w:r>
    </w:p>
    <w:p>
      <w:pPr>
        <w:pStyle w:val="Heading1"/>
      </w:pPr>
      <w:r>
        <w:t>4. Domain and data rules</w:t>
      </w:r>
    </w:p>
    <w:tbl>
      <w:tblPr>
        <w:tblStyle w:val="LightShading-Accent1"/>
        <w:tblW w:type="auto" w:w="0"/>
        <w:jc w:val="center"/>
        <w:tblLook w:firstColumn="1" w:firstRow="1" w:lastColumn="0" w:lastRow="0" w:noHBand="0" w:noVBand="1" w:val="04A0"/>
      </w:tblPr>
      <w:tblGrid>
        <w:gridCol w:w="4968"/>
        <w:gridCol w:w="4968"/>
      </w:tblGrid>
      <w:tr>
        <w:tc>
          <w:tcPr>
            <w:tcW w:type="dxa" w:w="1944"/>
            <w:shd w:fill="1A4B73"/>
          </w:tcPr>
          <w:p>
            <w:r>
              <w:rPr>
                <w:b/>
                <w:color w:val="FFFFFF"/>
              </w:rPr>
              <w:t>Area</w:t>
            </w:r>
          </w:p>
        </w:tc>
        <w:tc>
          <w:tcPr>
            <w:tcW w:type="dxa" w:w="7992"/>
            <w:shd w:fill="1A4B73"/>
          </w:tcPr>
          <w:p>
            <w:r>
              <w:rPr>
                <w:b/>
                <w:color w:val="FFFFFF"/>
              </w:rPr>
              <w:t>Implementation rule</w:t>
            </w:r>
          </w:p>
        </w:tc>
      </w:tr>
      <w:tr>
        <w:tc>
          <w:tcPr>
            <w:tcW w:type="dxa" w:w="1944"/>
            <w:vAlign w:val="center"/>
          </w:tcPr>
          <w:p>
            <w:r>
              <w:t>Tenant isolation</w:t>
            </w:r>
          </w:p>
        </w:tc>
        <w:tc>
          <w:tcPr>
            <w:tcW w:type="dxa" w:w="7992"/>
            <w:vAlign w:val="center"/>
          </w:tcPr>
          <w:p>
            <w:r>
              <w:t>Every tenant-owned record has a Shop/tenant key. Resolve tenant from trusted identity or verified provider mapping; never trust a client-supplied tenant id alone. Apply tenant scope in service and data access layers.</w:t>
            </w:r>
          </w:p>
        </w:tc>
      </w:tr>
      <w:tr>
        <w:tc>
          <w:tcPr>
            <w:tcW w:type="dxa" w:w="1944"/>
            <w:vAlign w:val="center"/>
          </w:tcPr>
          <w:p>
            <w:r>
              <w:t>Inventory</w:t>
            </w:r>
          </w:p>
        </w:tc>
        <w:tc>
          <w:tcPr>
            <w:tcW w:type="dxa" w:w="7992"/>
            <w:vAlign w:val="center"/>
          </w:tcPr>
          <w:p>
            <w:r>
              <w:t>Represent on-hand changes as a stock ledger with reason, source, actor, timestamp, and reference. Derive or reconcile current quantities from ledger entries; support variants and the SRS serial/batch needs.</w:t>
            </w:r>
          </w:p>
        </w:tc>
      </w:tr>
      <w:tr>
        <w:tc>
          <w:tcPr>
            <w:tcW w:type="dxa" w:w="1944"/>
            <w:vAlign w:val="center"/>
          </w:tcPr>
          <w:p>
            <w:r>
              <w:t>Orders</w:t>
            </w:r>
          </w:p>
        </w:tc>
        <w:tc>
          <w:tcPr>
            <w:tcW w:type="dxa" w:w="7992"/>
            <w:vAlign w:val="center"/>
          </w:tcPr>
          <w:p>
            <w:r>
              <w:t>Enforce the SRS state machine: New → Confirmed → Packed → Shipped → Delivered, with allowed branches to Returned and On Hold. Validate transitions centrally and record actor/source and timestamp.</w:t>
            </w:r>
          </w:p>
        </w:tc>
      </w:tr>
      <w:tr>
        <w:tc>
          <w:tcPr>
            <w:tcW w:type="dxa" w:w="1944"/>
            <w:vAlign w:val="center"/>
          </w:tcPr>
          <w:p>
            <w:r>
              <w:t>Payments</w:t>
            </w:r>
          </w:p>
        </w:tc>
        <w:tc>
          <w:tcPr>
            <w:tcW w:type="dxa" w:w="7992"/>
            <w:vAlign w:val="center"/>
          </w:tcPr>
          <w:p>
            <w:r>
              <w:t>Separate payment evidence, matching decision, gateway transaction, and reconciliation state. Require authorization for confirmation/refund actions and preserve an audit trail.</w:t>
            </w:r>
          </w:p>
        </w:tc>
      </w:tr>
      <w:tr>
        <w:tc>
          <w:tcPr>
            <w:tcW w:type="dxa" w:w="1944"/>
            <w:vAlign w:val="center"/>
          </w:tcPr>
          <w:p>
            <w:r>
              <w:t>Conversations and calls</w:t>
            </w:r>
          </w:p>
        </w:tc>
        <w:tc>
          <w:tcPr>
            <w:tcW w:type="dxa" w:w="7992"/>
            <w:vAlign w:val="center"/>
          </w:tcPr>
          <w:p>
            <w:r>
              <w:t>Use a normalized event model with provider ids, timestamps, channel, direction, delivery state, and media references. Keep transcript/model confidence and call outcome attached to the interaction.</w:t>
            </w:r>
          </w:p>
        </w:tc>
      </w:tr>
      <w:tr>
        <w:tc>
          <w:tcPr>
            <w:tcW w:type="dxa" w:w="1944"/>
            <w:vAlign w:val="center"/>
          </w:tcPr>
          <w:p>
            <w:r>
              <w:t>Configuration</w:t>
            </w:r>
          </w:p>
        </w:tc>
        <w:tc>
          <w:tcPr>
            <w:tcW w:type="dxa" w:w="7992"/>
            <w:vAlign w:val="center"/>
          </w:tcPr>
          <w:p>
            <w:r>
              <w:t>Store business categories, providers, document templates, supported dialect packs, and shop policies as data. Version changes that affect behavior.</w:t>
            </w:r>
          </w:p>
        </w:tc>
      </w:tr>
      <w:tr>
        <w:tc>
          <w:tcPr>
            <w:tcW w:type="dxa" w:w="1944"/>
            <w:vAlign w:val="center"/>
          </w:tcPr>
          <w:p>
            <w:r>
              <w:t>Money and time</w:t>
            </w:r>
          </w:p>
        </w:tc>
        <w:tc>
          <w:tcPr>
            <w:tcW w:type="dxa" w:w="7992"/>
            <w:vAlign w:val="center"/>
          </w:tcPr>
          <w:p>
            <w:r>
              <w:t>Persist monetary values with currency and use explicit timezone-aware timestamps. Display values in the Shop’s configured currency and timezone.</w:t>
            </w:r>
          </w:p>
        </w:tc>
      </w:tr>
    </w:tbl>
    <w:p/>
    <w:p>
      <w:pPr>
        <w:pStyle w:val="Heading1"/>
      </w:pPr>
      <w:r>
        <w:t>5. API and integration conventions</w:t>
      </w:r>
    </w:p>
    <w:p>
      <w:pPr>
        <w:pStyle w:val="ListBullet"/>
      </w:pPr>
      <w:r>
        <w:t>Publish API contracts before parallel frontend/backend work. Use consistent error schemas, pagination, filtering, and request correlation ids.</w:t>
      </w:r>
    </w:p>
    <w:p>
      <w:pPr>
        <w:pStyle w:val="ListBullet"/>
      </w:pPr>
      <w:r>
        <w:t>Version public or provider-facing contracts where breaking changes are possible; document deprecation windows.</w:t>
      </w:r>
    </w:p>
    <w:p>
      <w:pPr>
        <w:pStyle w:val="ListBullet"/>
      </w:pPr>
      <w:r>
        <w:t>Keep provider-specific payloads inside adapters. Convert them to normalized internal events before business logic runs.</w:t>
      </w:r>
    </w:p>
    <w:p>
      <w:pPr>
        <w:pStyle w:val="ListBullet"/>
      </w:pPr>
      <w:r>
        <w:t>Verify webhook signatures, timestamps, and replay windows. Persist provider event ids and return success only after durable receipt.</w:t>
      </w:r>
    </w:p>
    <w:p>
      <w:pPr>
        <w:pStyle w:val="ListBullet"/>
      </w:pPr>
      <w:r>
        <w:t>Use bounded retries with exponential backoff and jitter for transient provider errors; route exhausted jobs to a dead-letter/replay process. Do not retry non-idempotent actions without deduplication.</w:t>
      </w:r>
    </w:p>
    <w:p>
      <w:pPr>
        <w:pStyle w:val="ListBullet"/>
      </w:pPr>
      <w:r>
        <w:t>Keep secrets in a managed secret store or encrypted configuration. Redact credentials, payment data, recordings, and personal data from logs.</w:t>
      </w:r>
    </w:p>
    <w:p>
      <w:pPr>
        <w:pStyle w:val="ListBullet"/>
      </w:pPr>
      <w:r>
        <w:t>Use sandbox credentials for development and staging; isolate test tenants and webhook endpoints from production.</w:t>
      </w:r>
    </w:p>
    <w:p>
      <w:r>
        <w:t>The SRS calls for simple default channel and number connection flows. Keep advanced credentials and manual configuration behind an advanced path; make connection health, required permissions, and reconnect actions clear in the merchant UI.</w:t>
      </w:r>
    </w:p>
    <w:p>
      <w:pPr>
        <w:pStyle w:val="Heading1"/>
      </w:pPr>
      <w:r>
        <w:t>6. Frontend implementation guidance</w:t>
      </w:r>
    </w:p>
    <w:p>
      <w:pPr>
        <w:pStyle w:val="ListBullet"/>
      </w:pPr>
      <w:r>
        <w:t>Use typed API contracts and shared UI primitives for forms, tables, empty states, loading, errors, and confirmation flows.</w:t>
      </w:r>
    </w:p>
    <w:p>
      <w:pPr>
        <w:pStyle w:val="ListBullet"/>
      </w:pPr>
      <w:r>
        <w:t>Apply role-aware navigation and action visibility for usability, while treating backend authorization as the security boundary.</w:t>
      </w:r>
    </w:p>
    <w:p>
      <w:pPr>
        <w:pStyle w:val="ListBullet"/>
      </w:pPr>
      <w:r>
        <w:t>Represent asynchronous state explicitly: pending, succeeded, failed, needs review, and retryable where relevant.</w:t>
      </w:r>
    </w:p>
    <w:p>
      <w:pPr>
        <w:pStyle w:val="ListBullet"/>
      </w:pPr>
      <w:r>
        <w:t>Use realtime updates for inbox/call status and dashboard changes, with a refresh/reconnect path when the socket is interrupted.</w:t>
      </w:r>
    </w:p>
    <w:p>
      <w:pPr>
        <w:pStyle w:val="ListBullet"/>
      </w:pPr>
      <w:r>
        <w:t>Design for desktop and phone-width screens and support English and Bangla labels. Keep user-entered content Unicode-safe.</w:t>
      </w:r>
    </w:p>
    <w:p>
      <w:pPr>
        <w:pStyle w:val="ListBullet"/>
      </w:pPr>
      <w:r>
        <w:t>Make risky actions explain their effect and require the appropriate confirmation or human review; avoid implying an AI action has completed before the backend confirms it.</w:t>
      </w:r>
    </w:p>
    <w:p>
      <w:pPr>
        <w:pStyle w:val="Heading1"/>
      </w:pPr>
      <w:r>
        <w:t>7. AI, privacy, and human review</w:t>
      </w:r>
    </w:p>
    <w:p>
      <w:pPr>
        <w:pStyle w:val="ListBullet"/>
      </w:pPr>
      <w:r>
        <w:t>The orchestrator is the policy enforcement point for AI-initiated actions. It should receive structured intent, entities, confidence, Shop configuration, user permissions, and allowed actions.</w:t>
      </w:r>
    </w:p>
    <w:p>
      <w:pPr>
        <w:pStyle w:val="ListBullet"/>
      </w:pPr>
      <w:r>
        <w:t>Define configurable thresholds and escalation reasons; record model/provider/version, confidence, policy decision, and action result for audits and quality analysis.</w:t>
      </w:r>
    </w:p>
    <w:p>
      <w:pPr>
        <w:pStyle w:val="ListBullet"/>
      </w:pPr>
      <w:r>
        <w:t>Require human approval for sensitive or uncertain actions according to Shop policy. AI cannot bypass normal service authorization or transaction validation.</w:t>
      </w:r>
    </w:p>
    <w:p>
      <w:pPr>
        <w:pStyle w:val="ListBullet"/>
      </w:pPr>
      <w:r>
        <w:t>Restrict call recordings, transcripts, customer phone numbers, and payment evidence by role. Provide retention/deletion controls as product policy and applicable law require.</w:t>
      </w:r>
    </w:p>
    <w:p>
      <w:pPr>
        <w:pStyle w:val="ListBullet"/>
      </w:pPr>
      <w:r>
        <w:t>Play configured AI/recording notice at call start where required. Track notice configuration/version and call outcome.</w:t>
      </w:r>
    </w:p>
    <w:p>
      <w:pPr>
        <w:pStyle w:val="ListBullet"/>
      </w:pPr>
      <w:r>
        <w:t>Do not use production personal data in development or model evaluation unless an approved, documented process permits it.</w:t>
      </w:r>
    </w:p>
    <w:p>
      <w:pPr>
        <w:pStyle w:val="Heading1"/>
      </w:pPr>
      <w:r>
        <w:t>8. Non-functional targets and observability</w:t>
      </w:r>
    </w:p>
    <w:p>
      <w:r>
        <w:t>Implement and instrument the SRS targets as service-level indicators. The current SRS specifies: inbound inbox reflection within 5 seconds under normal load; dashboard summary within 2 seconds for up to 10,000 historical orders; 1,000 product rows imported within 2 minutes; and 99.5% monthly uptime targets for core transactional functions. Voice concurrency is configurable per Shop; the SRS does not give a numeric launch target, so capacity must be agreed before production.</w:t>
      </w:r>
    </w:p>
    <w:p>
      <w:pPr>
        <w:pStyle w:val="ListBullet"/>
      </w:pPr>
      <w:r>
        <w:t>Measure request latency, error rate, queue depth/age, webhook lag, job retries, database saturation, and provider availability.</w:t>
      </w:r>
    </w:p>
    <w:p>
      <w:pPr>
        <w:pStyle w:val="ListBullet"/>
      </w:pPr>
      <w:r>
        <w:t>For voice, measure call setup time, audio round-trip latency, dropped/failed sessions, ASR/TTS latency, confidence and handoff rate by dialect/model version.</w:t>
      </w:r>
    </w:p>
    <w:p>
      <w:pPr>
        <w:pStyle w:val="ListBullet"/>
      </w:pPr>
      <w:r>
        <w:t>Propagate correlation ids from webhook/call through conversation, AI decision, business action, and response.</w:t>
      </w:r>
    </w:p>
    <w:p>
      <w:pPr>
        <w:pStyle w:val="ListBullet"/>
      </w:pPr>
      <w:r>
        <w:t>Alert on user-visible failure and data integrity signals, not only host health. Create dashboards segmented by environment and provider without exposing raw personal data.</w:t>
      </w:r>
    </w:p>
    <w:p>
      <w:pPr>
        <w:pStyle w:val="ListBullet"/>
      </w:pPr>
      <w:r>
        <w:t>Define backup, restore, retention, incident response, and recovery objectives before production; the source architecture names these concerns only indirectly and does not set numeric recovery targets.</w:t>
      </w:r>
    </w:p>
    <w:p>
      <w:pPr>
        <w:pStyle w:val="Heading1"/>
      </w:pPr>
      <w:r>
        <w:t>9. Security and access control</w:t>
      </w:r>
    </w:p>
    <w:p>
      <w:pPr>
        <w:pStyle w:val="ListBullet"/>
      </w:pPr>
      <w:r>
        <w:t>Enforce RBAC in backend services and scope every operation to the authenticated Shop. Cover Super Admin, Admin, Sales, Support, and Warehouse role needs from the SRS.</w:t>
      </w:r>
    </w:p>
    <w:p>
      <w:pPr>
        <w:pStyle w:val="ListBullet"/>
      </w:pPr>
      <w:r>
        <w:t>Use short-lived access sessions, secure secret rotation, encrypted transport, and encryption at rest for integration credentials and sensitive media.</w:t>
      </w:r>
    </w:p>
    <w:p>
      <w:pPr>
        <w:pStyle w:val="ListBullet"/>
      </w:pPr>
      <w:r>
        <w:t>Audit permission-sensitive reads and all stock, payment-confirmation, document-issuance, order-state, and call-outcome actions.</w:t>
      </w:r>
    </w:p>
    <w:p>
      <w:pPr>
        <w:pStyle w:val="ListBullet"/>
      </w:pPr>
      <w:r>
        <w:t>Validate and limit uploaded files; use signed, time-limited media URLs and storage access policies.</w:t>
      </w:r>
    </w:p>
    <w:p>
      <w:pPr>
        <w:pStyle w:val="ListBullet"/>
      </w:pPr>
      <w:r>
        <w:t>Keep production data, credentials, and logs separated by environment. Ensure error responses do not reveal secrets or cross-tenant existence.</w:t>
      </w:r>
    </w:p>
    <w:p>
      <w:pPr>
        <w:pStyle w:val="Heading1"/>
      </w:pPr>
      <w:r>
        <w:t>10. Developer workflow and release process</w:t>
      </w:r>
    </w:p>
    <w:p>
      <w:pPr>
        <w:pStyle w:val="ListNumber"/>
      </w:pPr>
      <w:r>
        <w:t>Select prioritized stories and carry the source SRS requirement ID into the backlog, branch/PR, and acceptance notes.</w:t>
      </w:r>
    </w:p>
    <w:p>
      <w:pPr>
        <w:pStyle w:val="ListNumber"/>
      </w:pPr>
      <w:r>
        <w:t>Agree on UX, module ownership, data/API contract, failure behavior, and observability before implementation. Record unresolved choices as ADRs.</w:t>
      </w:r>
    </w:p>
    <w:p>
      <w:pPr>
        <w:pStyle w:val="ListNumber"/>
      </w:pPr>
      <w:r>
        <w:t>Implement in a feature branch with focused changes. Include migrations and rollback considerations with schema changes.</w:t>
      </w:r>
    </w:p>
    <w:p>
      <w:pPr>
        <w:pStyle w:val="ListNumber"/>
      </w:pPr>
      <w:r>
        <w:t>Peer review for behavior, tenant safety, authorization, idempotency, privacy, observability, and compatibility.</w:t>
      </w:r>
    </w:p>
    <w:p>
      <w:pPr>
        <w:pStyle w:val="ListNumber"/>
      </w:pPr>
      <w:r>
        <w:t>Run the project’s agreed automated checks and targeted integration scenarios, including provider sandbox or simulated webhook cases.</w:t>
      </w:r>
    </w:p>
    <w:p>
      <w:pPr>
        <w:pStyle w:val="ListNumber"/>
      </w:pPr>
      <w:r>
        <w:t>Promote to staging, verify release notes and operational dashboards, and obtain stakeholder UAT sign-off.</w:t>
      </w:r>
    </w:p>
    <w:p>
      <w:pPr>
        <w:pStyle w:val="ListNumber"/>
      </w:pPr>
      <w:r>
        <w:t>Deploy through the release pipeline with a tested rollback plan. Monitor key health and business signals after release.</w:t>
      </w:r>
    </w:p>
    <w:p>
      <w:r>
        <w:t>The companion architecture document defines release gates: code review approval, QA sign-off, stakeholder UAT approval, release checklist completion, and a tested rollback plan. Follow the repository’s actual CI commands and branch rules once they are established; this guide does not invent them.</w:t>
      </w:r>
    </w:p>
    <w:p>
      <w:pPr>
        <w:pStyle w:val="Heading1"/>
      </w:pPr>
      <w:r>
        <w:t>11. Requirement traceability and definition of done</w:t>
      </w:r>
    </w:p>
    <w:p>
      <w:r>
        <w:t>For each feature, maintain a chain from SRS requirement ID → user story → API/UI design → implementation module → acceptance evidence → telemetry. Keep a requirement-to-module index current as boundaries change. At minimum, a feature is ready to merge when:</w:t>
      </w:r>
    </w:p>
    <w:p>
      <w:pPr>
        <w:pStyle w:val="ListBullet"/>
      </w:pPr>
      <w:r>
        <w:t>Its requirement ID and acceptance criteria are recorded, including permissions and failure paths.</w:t>
      </w:r>
    </w:p>
    <w:p>
      <w:pPr>
        <w:pStyle w:val="ListBullet"/>
      </w:pPr>
      <w:r>
        <w:t>Tenant scoping, validation, idempotency, audit events, and sensitive-data handling are addressed where applicable.</w:t>
      </w:r>
    </w:p>
    <w:p>
      <w:pPr>
        <w:pStyle w:val="ListBullet"/>
      </w:pPr>
      <w:r>
        <w:t>API and event contracts are documented and backwards compatibility is considered.</w:t>
      </w:r>
    </w:p>
    <w:p>
      <w:pPr>
        <w:pStyle w:val="ListBullet"/>
      </w:pPr>
      <w:r>
        <w:t>Operational signals and support/replay procedures exist for asynchronous or provider-dependent behavior.</w:t>
      </w:r>
    </w:p>
    <w:p>
      <w:pPr>
        <w:pStyle w:val="ListBullet"/>
      </w:pPr>
      <w:r>
        <w:t>The UI communicates pending, failed, escalated, and completed states accurately.</w:t>
      </w:r>
    </w:p>
    <w:p>
      <w:pPr>
        <w:pStyle w:val="ListBullet"/>
      </w:pPr>
      <w:r>
        <w:t>The change has passed the team’s agreed review and verification gates.</w:t>
      </w:r>
    </w:p>
    <w:p>
      <w:pPr>
        <w:pStyle w:val="Heading1"/>
      </w:pPr>
      <w:r>
        <w:t>12. Open decisions to resolve before implementation</w:t>
      </w:r>
    </w:p>
    <w:tbl>
      <w:tblPr>
        <w:tblStyle w:val="LightShading-Accent1"/>
        <w:tblW w:type="auto" w:w="0"/>
        <w:jc w:val="center"/>
        <w:tblLook w:firstColumn="1" w:firstRow="1" w:lastColumn="0" w:lastRow="0" w:noHBand="0" w:noVBand="1" w:val="04A0"/>
      </w:tblPr>
      <w:tblGrid>
        <w:gridCol w:w="3312"/>
        <w:gridCol w:w="3312"/>
        <w:gridCol w:w="3312"/>
      </w:tblGrid>
      <w:tr>
        <w:tc>
          <w:tcPr>
            <w:tcW w:type="dxa" w:w="2952"/>
            <w:shd w:fill="1A4B73"/>
          </w:tcPr>
          <w:p>
            <w:r>
              <w:rPr>
                <w:b/>
                <w:color w:val="FFFFFF"/>
              </w:rPr>
              <w:t>Decision</w:t>
            </w:r>
          </w:p>
        </w:tc>
        <w:tc>
          <w:tcPr>
            <w:tcW w:type="dxa" w:w="5256"/>
            <w:shd w:fill="1A4B73"/>
          </w:tcPr>
          <w:p>
            <w:r>
              <w:rPr>
                <w:b/>
                <w:color w:val="FFFFFF"/>
              </w:rPr>
              <w:t>Why it matters</w:t>
            </w:r>
          </w:p>
        </w:tc>
        <w:tc>
          <w:tcPr>
            <w:tcW w:type="dxa" w:w="1728"/>
            <w:shd w:fill="1A4B73"/>
          </w:tcPr>
          <w:p>
            <w:r>
              <w:rPr>
                <w:b/>
                <w:color w:val="FFFFFF"/>
              </w:rPr>
              <w:t>Suggested owner</w:t>
            </w:r>
          </w:p>
        </w:tc>
      </w:tr>
      <w:tr>
        <w:tc>
          <w:tcPr>
            <w:tcW w:type="dxa" w:w="2952"/>
            <w:vAlign w:val="center"/>
          </w:tcPr>
          <w:p>
            <w:r>
              <w:t>Initial release scope and priority by module</w:t>
            </w:r>
          </w:p>
        </w:tc>
        <w:tc>
          <w:tcPr>
            <w:tcW w:type="dxa" w:w="5256"/>
            <w:vAlign w:val="center"/>
          </w:tcPr>
          <w:p>
            <w:r>
              <w:t>The SRS includes a broad set of channels, voice, bulk messaging, finance, and automation; sequencing affects architecture and delivery.</w:t>
            </w:r>
          </w:p>
        </w:tc>
        <w:tc>
          <w:tcPr>
            <w:tcW w:type="dxa" w:w="1728"/>
            <w:vAlign w:val="center"/>
          </w:tcPr>
          <w:p>
            <w:r>
              <w:t>Product + engineering lead</w:t>
            </w:r>
          </w:p>
        </w:tc>
      </w:tr>
      <w:tr>
        <w:tc>
          <w:tcPr>
            <w:tcW w:type="dxa" w:w="2952"/>
            <w:vAlign w:val="center"/>
          </w:tcPr>
          <w:p>
            <w:r>
              <w:t>Modular monolith deployment boundaries</w:t>
            </w:r>
          </w:p>
        </w:tc>
        <w:tc>
          <w:tcPr>
            <w:tcW w:type="dxa" w:w="5256"/>
            <w:vAlign w:val="center"/>
          </w:tcPr>
          <w:p>
            <w:r>
              <w:t>The SRS favors a modular monolith while the architecture describes service-oriented layers; deployment boundaries must be explicit.</w:t>
            </w:r>
          </w:p>
        </w:tc>
        <w:tc>
          <w:tcPr>
            <w:tcW w:type="dxa" w:w="1728"/>
            <w:vAlign w:val="center"/>
          </w:tcPr>
          <w:p>
            <w:r>
              <w:t>Architecture lead</w:t>
            </w:r>
          </w:p>
        </w:tc>
      </w:tr>
      <w:tr>
        <w:tc>
          <w:tcPr>
            <w:tcW w:type="dxa" w:w="2952"/>
            <w:vAlign w:val="center"/>
          </w:tcPr>
          <w:p>
            <w:r>
              <w:t>Canonical backend/infrastructure stack and versions</w:t>
            </w:r>
          </w:p>
        </w:tc>
        <w:tc>
          <w:tcPr>
            <w:tcW w:type="dxa" w:w="5256"/>
            <w:vAlign w:val="center"/>
          </w:tcPr>
          <w:p>
            <w:r>
              <w:t>FastAPI/PostgreSQL/Redis/Celery/Docker/Kubernetes are proposed in the analysis, but versions, hosting, and topology are not specified in the architecture DOCX.</w:t>
            </w:r>
          </w:p>
        </w:tc>
        <w:tc>
          <w:tcPr>
            <w:tcW w:type="dxa" w:w="1728"/>
            <w:vAlign w:val="center"/>
          </w:tcPr>
          <w:p>
            <w:r>
              <w:t>Platform/DevOps</w:t>
            </w:r>
          </w:p>
        </w:tc>
      </w:tr>
      <w:tr>
        <w:tc>
          <w:tcPr>
            <w:tcW w:type="dxa" w:w="2952"/>
            <w:vAlign w:val="center"/>
          </w:tcPr>
          <w:p>
            <w:r>
              <w:t>Tenant isolation model and authorization matrix</w:t>
            </w:r>
          </w:p>
        </w:tc>
        <w:tc>
          <w:tcPr>
            <w:tcW w:type="dxa" w:w="5256"/>
            <w:vAlign w:val="center"/>
          </w:tcPr>
          <w:p>
            <w:r>
              <w:t>Needed to make multi-tenant access safe and testable.</w:t>
            </w:r>
          </w:p>
        </w:tc>
        <w:tc>
          <w:tcPr>
            <w:tcW w:type="dxa" w:w="1728"/>
            <w:vAlign w:val="center"/>
          </w:tcPr>
          <w:p>
            <w:r>
              <w:t>Backend + security</w:t>
            </w:r>
          </w:p>
        </w:tc>
      </w:tr>
      <w:tr>
        <w:tc>
          <w:tcPr>
            <w:tcW w:type="dxa" w:w="2952"/>
            <w:vAlign w:val="center"/>
          </w:tcPr>
          <w:p>
            <w:r>
              <w:t>Provider selection, webhooks and quotas</w:t>
            </w:r>
          </w:p>
        </w:tc>
        <w:tc>
          <w:tcPr>
            <w:tcW w:type="dxa" w:w="5256"/>
            <w:vAlign w:val="center"/>
          </w:tcPr>
          <w:p>
            <w:r>
              <w:t>Messaging/telephony/payment/courier providers determine API limits, delivery guarantees, fees, and local availability.</w:t>
            </w:r>
          </w:p>
        </w:tc>
        <w:tc>
          <w:tcPr>
            <w:tcW w:type="dxa" w:w="1728"/>
            <w:vAlign w:val="center"/>
          </w:tcPr>
          <w:p>
            <w:r>
              <w:t>Integration owners</w:t>
            </w:r>
          </w:p>
        </w:tc>
      </w:tr>
      <w:tr>
        <w:tc>
          <w:tcPr>
            <w:tcW w:type="dxa" w:w="2952"/>
            <w:vAlign w:val="center"/>
          </w:tcPr>
          <w:p>
            <w:r>
              <w:t>Voice quality, concurrency and retention targets</w:t>
            </w:r>
          </w:p>
        </w:tc>
        <w:tc>
          <w:tcPr>
            <w:tcW w:type="dxa" w:w="5256"/>
            <w:vAlign w:val="center"/>
          </w:tcPr>
          <w:p>
            <w:r>
              <w:t>The SRS gives no numeric concurrency target and regional dialect accuracy is phased/Beta for immature models.</w:t>
            </w:r>
          </w:p>
        </w:tc>
        <w:tc>
          <w:tcPr>
            <w:tcW w:type="dxa" w:w="1728"/>
            <w:vAlign w:val="center"/>
          </w:tcPr>
          <w:p>
            <w:r>
              <w:t>Voice/AI + product</w:t>
            </w:r>
          </w:p>
        </w:tc>
      </w:tr>
      <w:tr>
        <w:tc>
          <w:tcPr>
            <w:tcW w:type="dxa" w:w="2952"/>
            <w:vAlign w:val="center"/>
          </w:tcPr>
          <w:p>
            <w:r>
              <w:t>Data retention, consent and deletion policy</w:t>
            </w:r>
          </w:p>
        </w:tc>
        <w:tc>
          <w:tcPr>
            <w:tcW w:type="dxa" w:w="5256"/>
            <w:vAlign w:val="center"/>
          </w:tcPr>
          <w:p>
            <w:r>
              <w:t>Recordings, transcripts and customer data require clear lifecycle rules.</w:t>
            </w:r>
          </w:p>
        </w:tc>
        <w:tc>
          <w:tcPr>
            <w:tcW w:type="dxa" w:w="1728"/>
            <w:vAlign w:val="center"/>
          </w:tcPr>
          <w:p>
            <w:r>
              <w:t>Product + legal/security</w:t>
            </w:r>
          </w:p>
        </w:tc>
      </w:tr>
      <w:tr>
        <w:tc>
          <w:tcPr>
            <w:tcW w:type="dxa" w:w="2952"/>
            <w:vAlign w:val="center"/>
          </w:tcPr>
          <w:p>
            <w:r>
              <w:t>Production SLOs, backup and recovery objectives</w:t>
            </w:r>
          </w:p>
        </w:tc>
        <w:tc>
          <w:tcPr>
            <w:tcW w:type="dxa" w:w="5256"/>
            <w:vAlign w:val="center"/>
          </w:tcPr>
          <w:p>
            <w:r>
              <w:t>Uptime is specified, but RTO/RPO, backup cadence, and incident ownership are not.</w:t>
            </w:r>
          </w:p>
        </w:tc>
        <w:tc>
          <w:tcPr>
            <w:tcW w:type="dxa" w:w="1728"/>
            <w:vAlign w:val="center"/>
          </w:tcPr>
          <w:p>
            <w:r>
              <w:t>SRE/DevOps + product</w:t>
            </w:r>
          </w:p>
        </w:tc>
      </w:tr>
    </w:tbl>
    <w:p/>
    <w:p>
      <w:pPr>
        <w:pStyle w:val="Heading1"/>
      </w:pPr>
      <w:r>
        <w:t>13. Source of truth and maintenance</w:t>
      </w:r>
    </w:p>
    <w:p>
      <w:r>
        <w:t>The SRS is authoritative for what the product must do. The architecture document is authoritative for the intended logical flow and development lifecycle. This guide is an implementation companion. When a decision changes scope, security posture, API compatibility, or module boundaries, update the relevant source and record the decision rather than allowing this guide to silently override it.</w:t>
      </w:r>
    </w:p>
    <w:p>
      <w:r>
        <w:t>Document owner: engineering lead. Review this guide when the SRS version changes, a major provider or architecture decision is approved, or the deployment model changes.</w:t>
      </w:r>
    </w:p>
    <w:p>
      <w:pPr>
        <w:pStyle w:val="Heading1"/>
      </w:pPr>
      <w:r>
        <w:t>14. Model provider strategy and future self-hosting</w:t>
      </w:r>
    </w:p>
    <w:p>
      <w:r>
        <w:t>The platform must not depend on one external model vendor. Keep model selection behind an internal Model Gateway with provider adapters and a configurable registry. This allows free or locally hosted models during development and testing, paid providers later, and merchant-owned or organization-hosted models in the future without changing product workflows.</w:t>
      </w:r>
    </w:p>
    <w:p>
      <w:pPr>
        <w:pStyle w:val="Heading2"/>
      </w:pPr>
      <w:r>
        <w:t>14.1 Separate capabilities and route by task</w:t>
      </w:r>
    </w:p>
    <w:p>
      <w:r>
        <w:t>Treat conversational generation, embeddings, speech recognition (ASR), speech synthesis (TTS), and any moderation or classification models as separate capabilities. Each capability can have its own provider, model, timeout, cost limit, and fallback chain. The AI Orchestrator calls a stable internal interface; provider-specific request formats and credentials remain inside adapters.</w:t>
      </w:r>
    </w:p>
    <w:p>
      <w:pPr>
        <w:pStyle w:val="Heading2"/>
      </w:pPr>
      <w:r>
        <w:t>14.2 Free-first testing and paid rollout</w:t>
      </w:r>
    </w:p>
    <w:p>
      <w:pPr>
        <w:pStyle w:val="ListBullet"/>
      </w:pPr>
      <w:r>
        <w:t>In development and evaluation, prefer providers with an available free tier or a locally run model. Free-tier access, quotas, and model terms can change, so provider/model names are configuration rather than product assumptions.</w:t>
      </w:r>
    </w:p>
    <w:p>
      <w:pPr>
        <w:pStyle w:val="ListBullet"/>
      </w:pPr>
      <w:r>
        <w:t>Keep development, staging, and production credentials and budgets separate. Never silently move a test configuration into production.</w:t>
      </w:r>
    </w:p>
    <w:p>
      <w:pPr>
        <w:pStyle w:val="ListBullet"/>
      </w:pPr>
      <w:r>
        <w:t>After evaluation, enable paid providers through configuration and secret management. Set per-environment and, where appropriate, per-Shop usage limits, alerts, and allowed-model policies.</w:t>
      </w:r>
    </w:p>
    <w:p>
      <w:pPr>
        <w:pStyle w:val="ListBullet"/>
      </w:pPr>
      <w:r>
        <w:t>No specific vendor or model is mandated by this guide. Select initial models after comparing task quality, language and dialect coverage, latency, privacy terms, availability, and cost.</w:t>
      </w:r>
    </w:p>
    <w:p>
      <w:pPr>
        <w:pStyle w:val="Heading2"/>
      </w:pPr>
      <w:r>
        <w:t>14.3 Fallback and failure handling</w:t>
      </w:r>
    </w:p>
    <w:p>
      <w:r>
        <w:t>Allow an ordered fallback chain for each capability. If a provider is unavailable, credentials are invalid/expired, or quota is exhausted, the gateway should record the failure, temporarily stop routing to that provider when appropriate, and try the next configured provider within the request deadline. Notify operators when credentials or quota need attention. If no eligible provider remains, use the configured human handoff or safe degraded mode; do not silently drop a customer interaction.</w:t>
      </w:r>
    </w:p>
    <w:p>
      <w:r>
        <w:t>Distinguish provider access failures from request-specific errors. An expired key, provider outage, or exhausted quota may justify fallback and circuit breaking. A context-length error, invalid input, or unsupported feature may require request adjustment or a clear failure instead; do not mark the provider unhealthy for every request-level error. Preserve idempotency for business actions so a model retry cannot create duplicate orders, payments, or messages.</w:t>
      </w:r>
    </w:p>
    <w:p>
      <w:pPr>
        <w:pStyle w:val="Heading2"/>
      </w:pPr>
      <w:r>
        <w:t>14.4 Bring your own and self-hosted models</w:t>
      </w:r>
    </w:p>
    <w:p>
      <w:pPr>
        <w:pStyle w:val="ListBullet"/>
      </w:pPr>
      <w:r>
        <w:t>Provide a self-hosted endpoint adapter using the same internal capability interface as external providers. Support configured base URL, model identifier, authentication method, timeout, and health check without exposing credentials to the browser.</w:t>
      </w:r>
    </w:p>
    <w:p>
      <w:pPr>
        <w:pStyle w:val="ListBullet"/>
      </w:pPr>
      <w:r>
        <w:t>Keep model artifacts, training pipelines, and inference deployment replaceable. A future team can fine-tune or train models and register their endpoint without rewriting the orchestrator or channel integrations.</w:t>
      </w:r>
    </w:p>
    <w:p>
      <w:pPr>
        <w:pStyle w:val="ListBullet"/>
      </w:pPr>
      <w:r>
        <w:t>For model updates, retain version identifiers, evaluation results, staged rollout controls, and rollback to the prior model. Speech and dialect packs should be versioned independently from text generation.</w:t>
      </w:r>
    </w:p>
    <w:p>
      <w:pPr>
        <w:pStyle w:val="ListBullet"/>
      </w:pPr>
      <w:r>
        <w:t>Use only data approved for training. Define consent, retention, de-identification, and access controls before using customer conversations, recordings, or transcripts in training or evaluation.</w:t>
      </w:r>
    </w:p>
    <w:p>
      <w:pPr>
        <w:pStyle w:val="Heading2"/>
      </w:pPr>
      <w:r>
        <w:t>14.5 Provider registry and decision logging</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A4B73"/>
          </w:tcPr>
          <w:p>
            <w:r>
              <w:rPr>
                <w:b/>
                <w:color w:val="FFFFFF"/>
              </w:rPr>
              <w:t>Registry field</w:t>
            </w:r>
          </w:p>
        </w:tc>
        <w:tc>
          <w:tcPr>
            <w:tcW w:type="dxa" w:w="3312"/>
            <w:shd w:fill="1A4B73"/>
          </w:tcPr>
          <w:p>
            <w:r>
              <w:rPr>
                <w:b/>
                <w:color w:val="FFFFFF"/>
              </w:rPr>
              <w:t>Purpose</w:t>
            </w:r>
          </w:p>
        </w:tc>
        <w:tc>
          <w:tcPr>
            <w:tcW w:type="dxa" w:w="3312"/>
            <w:shd w:fill="1A4B73"/>
          </w:tcPr>
          <w:p>
            <w:r>
              <w:rPr>
                <w:b/>
                <w:color w:val="FFFFFF"/>
              </w:rPr>
              <w:t>Example policy</w:t>
            </w:r>
          </w:p>
        </w:tc>
      </w:tr>
      <w:tr>
        <w:tc>
          <w:tcPr>
            <w:tcW w:type="dxa" w:w="3312"/>
          </w:tcPr>
          <w:p>
            <w:r>
              <w:t>Capability and provider/model id</w:t>
            </w:r>
          </w:p>
        </w:tc>
        <w:tc>
          <w:tcPr>
            <w:tcW w:type="dxa" w:w="3312"/>
          </w:tcPr>
          <w:p>
            <w:r>
              <w:t>Select the right implementation for chat, ASR, TTS, embeddings, or another task.</w:t>
            </w:r>
          </w:p>
        </w:tc>
        <w:tc>
          <w:tcPr>
            <w:tcW w:type="dxa" w:w="3312"/>
          </w:tcPr>
          <w:p>
            <w:r>
              <w:t>Separate routing for text and speech.</w:t>
            </w:r>
          </w:p>
        </w:tc>
      </w:tr>
      <w:tr>
        <w:tc>
          <w:tcPr>
            <w:tcW w:type="dxa" w:w="3312"/>
          </w:tcPr>
          <w:p>
            <w:r>
              <w:t>Environment and enabled state</w:t>
            </w:r>
          </w:p>
        </w:tc>
        <w:tc>
          <w:tcPr>
            <w:tcW w:type="dxa" w:w="3312"/>
          </w:tcPr>
          <w:p>
            <w:r>
              <w:t>Control which models may run in development, staging, and production.</w:t>
            </w:r>
          </w:p>
        </w:tc>
        <w:tc>
          <w:tcPr>
            <w:tcW w:type="dxa" w:w="3312"/>
          </w:tcPr>
          <w:p>
            <w:r>
              <w:t>Free/local models in dev; approved paid or self-hosted models in prod.</w:t>
            </w:r>
          </w:p>
        </w:tc>
      </w:tr>
      <w:tr>
        <w:tc>
          <w:tcPr>
            <w:tcW w:type="dxa" w:w="3312"/>
          </w:tcPr>
          <w:p>
            <w:r>
              <w:t>Priority and fallback list</w:t>
            </w:r>
          </w:p>
        </w:tc>
        <w:tc>
          <w:tcPr>
            <w:tcW w:type="dxa" w:w="3312"/>
          </w:tcPr>
          <w:p>
            <w:r>
              <w:t>Determine the next eligible provider after a qualifying failure.</w:t>
            </w:r>
          </w:p>
        </w:tc>
        <w:tc>
          <w:tcPr>
            <w:tcW w:type="dxa" w:w="3312"/>
          </w:tcPr>
          <w:p>
            <w:r>
              <w:t>Fallback only to models meeting language, privacy, and capability requirements.</w:t>
            </w:r>
          </w:p>
        </w:tc>
      </w:tr>
      <w:tr>
        <w:tc>
          <w:tcPr>
            <w:tcW w:type="dxa" w:w="3312"/>
          </w:tcPr>
          <w:p>
            <w:r>
              <w:t>Timeout, retry and circuit-breaker settings</w:t>
            </w:r>
          </w:p>
        </w:tc>
        <w:tc>
          <w:tcPr>
            <w:tcW w:type="dxa" w:w="3312"/>
          </w:tcPr>
          <w:p>
            <w:r>
              <w:t>Bound latency and prevent repeated calls to a failing provider.</w:t>
            </w:r>
          </w:p>
        </w:tc>
        <w:tc>
          <w:tcPr>
            <w:tcW w:type="dxa" w:w="3312"/>
          </w:tcPr>
          <w:p>
            <w:r>
              <w:t>Small bounded retry count, then next provider.</w:t>
            </w:r>
          </w:p>
        </w:tc>
      </w:tr>
      <w:tr>
        <w:tc>
          <w:tcPr>
            <w:tcW w:type="dxa" w:w="3312"/>
          </w:tcPr>
          <w:p>
            <w:r>
              <w:t>Quota, budget and alert threshold</w:t>
            </w:r>
          </w:p>
        </w:tc>
        <w:tc>
          <w:tcPr>
            <w:tcW w:type="dxa" w:w="3312"/>
          </w:tcPr>
          <w:p>
            <w:r>
              <w:t>Limit spend and surface expiring credentials or exhausted quotas.</w:t>
            </w:r>
          </w:p>
        </w:tc>
        <w:tc>
          <w:tcPr>
            <w:tcW w:type="dxa" w:w="3312"/>
          </w:tcPr>
          <w:p>
            <w:r>
              <w:t>Notify before a configured usage threshold.</w:t>
            </w:r>
          </w:p>
        </w:tc>
      </w:tr>
      <w:tr>
        <w:tc>
          <w:tcPr>
            <w:tcW w:type="dxa" w:w="3312"/>
          </w:tcPr>
          <w:p>
            <w:r>
              <w:t>Version and evaluation status</w:t>
            </w:r>
          </w:p>
        </w:tc>
        <w:tc>
          <w:tcPr>
            <w:tcW w:type="dxa" w:w="3312"/>
          </w:tcPr>
          <w:p>
            <w:r>
              <w:t>Support quality tracking, staged rollout, and rollback.</w:t>
            </w:r>
          </w:p>
        </w:tc>
        <w:tc>
          <w:tcPr>
            <w:tcW w:type="dxa" w:w="3312"/>
          </w:tcPr>
          <w:p>
            <w:r>
              <w:t>Only promote after language-specific evaluation.</w:t>
            </w:r>
          </w:p>
        </w:tc>
      </w:tr>
    </w:tbl>
    <w:p>
      <w:r>
        <w:t>For each model call, log the capability, provider/model and version, fallback attempt number, latency, outcome/error class, and usage/cost metadata when available. Do not log secret keys or unnecessary raw customer content. This metadata supports incident investigation, quality comparison, dialect analysis, and cost control.</w:t>
      </w:r>
    </w:p>
    <w:p>
      <w:pPr>
        <w:pStyle w:val="Heading2"/>
      </w:pPr>
      <w:r>
        <w:t>14.6 Acceptance criteria for the model gateway</w:t>
      </w:r>
    </w:p>
    <w:p>
      <w:pPr>
        <w:pStyle w:val="ListBullet"/>
      </w:pPr>
      <w:r>
        <w:t>A provider can be added or replaced through an adapter and configuration without changing business modules or frontend flows.</w:t>
      </w:r>
    </w:p>
    <w:p>
      <w:pPr>
        <w:pStyle w:val="ListBullet"/>
      </w:pPr>
      <w:r>
        <w:t>An expired credential or exhausted quota triggers a recorded, bounded fallback to the next policy-eligible provider and an operator-visible alert.</w:t>
      </w:r>
    </w:p>
    <w:p>
      <w:pPr>
        <w:pStyle w:val="ListBullet"/>
      </w:pPr>
      <w:r>
        <w:t>Fallback respects task capability, language/dialect coverage, privacy rules, Shop policy, latency deadline, and configured budget.</w:t>
      </w:r>
    </w:p>
    <w:p>
      <w:pPr>
        <w:pStyle w:val="ListBullet"/>
      </w:pPr>
      <w:r>
        <w:t>If every eligible provider is unavailable, the system follows the configured human escalation or safe degraded response and records the outcome.</w:t>
      </w:r>
    </w:p>
    <w:p>
      <w:pPr>
        <w:pStyle w:val="ListBullet"/>
      </w:pPr>
      <w:r>
        <w:t>Model and dialect versions can be evaluated, promoted, and rolled back independently; customer data is not used for training without an approved data policy.</w:t>
      </w:r>
    </w:p>
    <w:p>
      <w:pPr>
        <w:pStyle w:val="Heading2"/>
      </w:pPr>
      <w:r>
        <w:t>14.7 Model evaluation and promotion</w:t>
      </w:r>
    </w:p>
    <w:p>
      <w:r>
        <w:t>Maintain a repeatable evaluation set for each capability before changing its production route. Include representative English and Standard Bangla examples, and separate labeled samples for each supported regional dialect. Include ordinary requests, ambiguous speech, noisy audio, product/service questions, order capture, policy-sensitive requests, and out-of-scope inputs. Use consented or synthetic/de-identified data under the approved data policy.</w:t>
      </w:r>
    </w:p>
    <w:p>
      <w:pPr>
        <w:pStyle w:val="ListBullet"/>
      </w:pPr>
      <w:r>
        <w:t>Evaluate text models for intent/entity accuracy, factual grounding in Shop data, policy adherence, safe escalation, response quality, latency, and cost.</w:t>
      </w:r>
    </w:p>
    <w:p>
      <w:pPr>
        <w:pStyle w:val="ListBullet"/>
      </w:pPr>
      <w:r>
        <w:t>Evaluate ASR by dialect and noise condition using word/character error measures plus task-level meaning preservation; evaluate TTS for intelligibility, pronunciation, latency, and user feedback.</w:t>
      </w:r>
    </w:p>
    <w:p>
      <w:pPr>
        <w:pStyle w:val="ListBullet"/>
      </w:pPr>
      <w:r>
        <w:t>Run a fixed baseline and compare candidate models against it. Record dataset version, model/provider version, configuration, scores, known weaknesses, and evaluator approval.</w:t>
      </w:r>
    </w:p>
    <w:p>
      <w:pPr>
        <w:pStyle w:val="ListBullet"/>
      </w:pPr>
      <w:r>
        <w:t>Promote through offline evaluation, staging or shadow traffic, a limited canary where practical, then gradual rollout with monitoring. Keep a one-step rollback to the prior model/configuration.</w:t>
      </w:r>
    </w:p>
    <w:p>
      <w:pPr>
        <w:pStyle w:val="ListBullet"/>
      </w:pPr>
      <w:r>
        <w:t>Set numeric acceptance thresholds and regression tolerances per capability and dialect before production evaluation. The SRS does not define these thresholds; product, AI, and operations owners must approve them.</w:t>
      </w:r>
    </w:p>
    <w:p>
      <w:pPr>
        <w:pStyle w:val="Heading2"/>
      </w:pPr>
      <w:r>
        <w:t>14.8 Fallback policy controls</w:t>
      </w:r>
    </w:p>
    <w:p>
      <w:r>
        <w:t>Each capability configuration should define eligible providers, priority order, per-attempt timeout, total request deadline, bounded retry count, retryable error classes, circuit-breaker cool-down, and operator alert thresholds. Choose concrete values from measured provider latency and the user-facing response budget; do not retry indefinitely or exceed the interaction deadline.</w:t>
      </w:r>
    </w:p>
    <w:p>
      <w:pPr>
        <w:pStyle w:val="ListBullet"/>
      </w:pPr>
      <w:r>
        <w:t>Switch providers for transient service failures, rate limits after any provider-specified retry delay, invalid/expired credentials, or exhausted quota, subject to the configured policy and request deadline.</w:t>
      </w:r>
    </w:p>
    <w:p>
      <w:pPr>
        <w:pStyle w:val="ListBullet"/>
      </w:pPr>
      <w:r>
        <w:t>Do not treat malformed requests, unsupported features, context-size errors, safety refusals, or low model confidence as provider outages. Correct the request, escalate, or return a safe result according to policy.</w:t>
      </w:r>
    </w:p>
    <w:p>
      <w:pPr>
        <w:pStyle w:val="ListBullet"/>
      </w:pPr>
      <w:r>
        <w:t>Fallback only to a provider approved for the same capability, language/dialect, data classification, and Shop/environment policy. If no eligible fallback remains, hand off to a human or use the approved degraded response.</w:t>
      </w:r>
    </w:p>
    <w:p>
      <w:pPr>
        <w:pStyle w:val="ListBullet"/>
      </w:pPr>
      <w:r>
        <w:t>Prevent duplicate business effects: model/provider retries may regenerate a draft, but any order, payment, stock, document, or outbound message command must be separately authorized and idempotent.</w:t>
      </w:r>
    </w:p>
    <w:p>
      <w:pPr>
        <w:pStyle w:val="ListBullet"/>
      </w:pPr>
      <w:r>
        <w:t>Alert on credential expiry, quota exhaustion, repeated circuit-breaker trips, and a sustained increase in fallback use. Include a safe operator path to disable a provider or change routing without exposing secret values.</w:t>
      </w:r>
    </w:p>
    <w:p>
      <w:pPr>
        <w:pStyle w:val="Heading2"/>
      </w:pPr>
      <w:r>
        <w:t>14.9 Data and model governance</w:t>
      </w:r>
    </w:p>
    <w:p>
      <w:pPr>
        <w:pStyle w:val="ListBullet"/>
      </w:pPr>
      <w:r>
        <w:t>Define purpose, lawful basis/consent, retention period, deletion process, access roles, and data residency expectations for messages, call recordings, transcripts, and evaluation sets before production collection.</w:t>
      </w:r>
    </w:p>
    <w:p>
      <w:pPr>
        <w:pStyle w:val="ListBullet"/>
      </w:pPr>
      <w:r>
        <w:t>Do not use merchant or customer content for model training by default. Training or fine-tuning requires an explicit approved purpose, permission, documented data selection, and a deletion/withdrawal process where applicable.</w:t>
      </w:r>
    </w:p>
    <w:p>
      <w:pPr>
        <w:pStyle w:val="ListBullet"/>
      </w:pPr>
      <w:r>
        <w:t>Keep development and evaluation data separate from production. Prefer synthetic or de-identified samples; restrict access to any identifiable evaluation material and log access.</w:t>
      </w:r>
    </w:p>
    <w:p>
      <w:pPr>
        <w:pStyle w:val="ListBullet"/>
      </w:pPr>
      <w:r>
        <w:t>For each model release, record owner, provider/model/version, training or fine-tuning data lineage when applicable, evaluation results, limitations, approval, rollout date, and rollback target.</w:t>
      </w:r>
    </w:p>
    <w:p>
      <w:pPr>
        <w:pStyle w:val="ListBullet"/>
      </w:pPr>
      <w:r>
        <w:t>Apply the same tenant, role, retention, and deletion controls to model prompts, embeddings, cached context, transcripts, and provider logs as to their source data. Review provider retention and training terms before enabling a vendor.</w:t>
      </w:r>
    </w:p>
    <w:p>
      <w:pPr>
        <w:pStyle w:val="Heading1"/>
      </w:pPr>
      <w:r>
        <w:t>15. Proposed phased launch scope</w:t>
      </w:r>
    </w:p>
    <w:p>
      <w:r>
        <w:t>The SRS defines broad product scope but does not finalize a release-by-release backlog. The following is a proposed sequencing for planning discussion; the product owner must confirm the launch scope and requirement priorities before sprint commitments.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A4B73"/>
          </w:tcPr>
          <w:p>
            <w:r>
              <w:rPr>
                <w:b/>
                <w:color w:val="FFFFFF"/>
              </w:rPr>
              <w:t>Phase</w:t>
            </w:r>
          </w:p>
        </w:tc>
        <w:tc>
          <w:tcPr>
            <w:tcW w:type="dxa" w:w="3312"/>
            <w:shd w:fill="1A4B73"/>
          </w:tcPr>
          <w:p>
            <w:r>
              <w:rPr>
                <w:b/>
                <w:color w:val="FFFFFF"/>
              </w:rPr>
              <w:t>Suggested scope</w:t>
            </w:r>
          </w:p>
        </w:tc>
        <w:tc>
          <w:tcPr>
            <w:tcW w:type="dxa" w:w="3312"/>
            <w:shd w:fill="1A4B73"/>
          </w:tcPr>
          <w:p>
            <w:r>
              <w:rPr>
                <w:b/>
                <w:color w:val="FFFFFF"/>
              </w:rPr>
              <w:t>Exit conditions</w:t>
            </w:r>
          </w:p>
        </w:tc>
      </w:tr>
      <w:tr>
        <w:tc>
          <w:tcPr>
            <w:tcW w:type="dxa" w:w="3312"/>
          </w:tcPr>
          <w:p>
            <w:r>
              <w:t>Foundation and internal testing</w:t>
            </w:r>
          </w:p>
        </w:tc>
        <w:tc>
          <w:tcPr>
            <w:tcW w:type="dxa" w:w="3312"/>
          </w:tcPr>
          <w:p>
            <w:r>
              <w:t>Tenant identity/RBAC; shop setup; one initial messaging channel; catalogue and stock ledger; unified inbox; orders; basic AI draft with human approval; audit events; provider sandbox adapters.</w:t>
            </w:r>
          </w:p>
        </w:tc>
        <w:tc>
          <w:tcPr>
            <w:tcW w:type="dxa" w:w="3312"/>
          </w:tcPr>
          <w:p>
            <w:r>
              <w:t>Tenant isolation, core workflows, retries, audit trail, and operational dashboards verified in staging.</w:t>
            </w:r>
          </w:p>
        </w:tc>
      </w:tr>
      <w:tr>
        <w:tc>
          <w:tcPr>
            <w:tcW w:type="dxa" w:w="3312"/>
          </w:tcPr>
          <w:p>
            <w:r>
              <w:t>Controlled merchant pilot</w:t>
            </w:r>
          </w:p>
        </w:tc>
        <w:tc>
          <w:tcPr>
            <w:tcW w:type="dxa" w:w="3312"/>
          </w:tcPr>
          <w:p>
            <w:r>
              <w:t>Add agreed payment/courier integrations; selected autopilot policies; first bulk messaging channel only where provider policy and consent handling are ready; English and Standard Bangla; limited voice-note transcription or live voice pilot if support quality is sufficient.</w:t>
            </w:r>
          </w:p>
        </w:tc>
        <w:tc>
          <w:tcPr>
            <w:tcW w:type="dxa" w:w="3312"/>
          </w:tcPr>
          <w:p>
            <w:r>
              <w:t>UAT approval, provider approval, privacy/retention policy, support and rollback plans, and measured performance within approved SLOs.</w:t>
            </w:r>
          </w:p>
        </w:tc>
      </w:tr>
      <w:tr>
        <w:tc>
          <w:tcPr>
            <w:tcW w:type="dxa" w:w="3312"/>
          </w:tcPr>
          <w:p>
            <w:r>
              <w:t>Production expansion</w:t>
            </w:r>
          </w:p>
        </w:tc>
        <w:tc>
          <w:tcPr>
            <w:tcW w:type="dxa" w:w="3312"/>
          </w:tcPr>
          <w:p>
            <w:r>
              <w:t>Scale channel and integration coverage; expand dialect packs and live voice/call concurrency; add advanced automation, finance, marketing, and self-hosted model options according to demand.</w:t>
            </w:r>
          </w:p>
        </w:tc>
        <w:tc>
          <w:tcPr>
            <w:tcW w:type="dxa" w:w="3312"/>
          </w:tcPr>
          <w:p>
            <w:r>
              <w:t>Each expansion passes capability-specific evaluation, capacity planning, security review, rollout monitoring, and rollback readiness.</w:t>
            </w:r>
          </w:p>
        </w:tc>
      </w:tr>
    </w:tbl>
    <w:p>
      <w:r>
        <w:t>Bulk WhatsApp, live voice campaigns, regional dialect production claims, and paid model routing should each have explicit provider approval, consent/privacy handling, capacity and cost limits, evaluation evidence, and a human escalation path before being enabled for general availability. The proposed phases do not override SRS priority labels or the product owner’s release decision.</w:t>
      </w:r>
    </w:p>
    <w:sectPr w:rsidR="00FC693F" w:rsidRPr="0006063C" w:rsidSect="00034616">
      <w:footerReference w:type="default" r:id="rId9"/>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78"/>
        <w:sz w:val="16"/>
      </w:rPr>
      <w:t xml:space="preserve">Developer Implementation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42D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A4B7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A4B73"/>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A4B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A375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