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Noto Sans SC" w:cs="Noto Sans SC" w:eastAsia="Noto Sans SC" w:hAnsi="Noto Sans SC"/>
          <w:b/>
          <w:bCs/>
          <w:color w:val="1D4E89"/>
          <w:sz w:val="34"/>
          <w:szCs w:val="34"/>
        </w:rPr>
        <w:t xml:space="preserve">PolyGate 选题讨论速查表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Advisor Meeting Cheat Sheet — Confirming the Project Topic</w:t>
      </w:r>
    </w:p>
    <w:p>
      <w:pPr>
        <w:pBdr>
          <w:bottom w:val="single" w:color="1D4E89" w:sz="14" w:space="6"/>
        </w:pBdr>
        <w:spacing w:after="60"/>
      </w:pPr>
      <w:r>
        <w:rPr>
          <w:rFonts w:ascii="Noto Sans SC" w:cs="Noto Sans SC" w:eastAsia="Noto Sans SC" w:hAnsi="Noto Sans SC"/>
          <w:i/>
          <w:iCs/>
          <w:color w:val="1F2937"/>
          <w:sz w:val="20"/>
          <w:szCs w:val="20"/>
        </w:rPr>
        <w:t xml:space="preserve">今日目标：把叙事从「又一个 AI 中转站」扭到「用云原生机制治理 AI 流量的平台」。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Goal for today: shift the narrative from "another AI relay station" to "a cloud-native platform for governing AI traffic."</w:t>
      </w:r>
    </w:p>
    <w:p>
      <w:pPr>
        <w:pBdr>
          <w:bottom w:val="single" w:color="1D4E89" w:sz="10" w:space="4"/>
        </w:pBdr>
        <w:spacing w:after="20" w:before="260"/>
      </w:pPr>
      <w:r>
        <w:rPr>
          <w:rFonts w:ascii="Noto Sans SC" w:cs="Noto Sans SC" w:eastAsia="Noto Sans SC" w:hAnsi="Noto Sans SC"/>
          <w:b/>
          <w:bCs/>
          <w:color w:val="1D4E89"/>
          <w:sz w:val="26"/>
          <w:szCs w:val="26"/>
        </w:rPr>
        <w:t xml:space="preserve">一、主动向老师提出的问题</w:t>
      </w:r>
      <w:r>
        <w:rPr>
          <w:sz w:val="26"/>
          <w:szCs w:val="26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Questions to Raise With the Advisor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tcBorders>
              <w:top w:val="single" w:color="1D4E89" w:sz="4"/>
              <w:left w:val="single" w:color="1D4E89" w:sz="4"/>
              <w:bottom w:val="single" w:color="1D4E89" w:sz="4"/>
              <w:right w:val="single" w:color="1D4E89" w:sz="4"/>
            </w:tcBorders>
            <w:shd w:fill="1D4E8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3800"/>
            <w:tcBorders>
              <w:top w:val="single" w:color="1D4E89" w:sz="4"/>
              <w:left w:val="single" w:color="1D4E89" w:sz="4"/>
              <w:bottom w:val="single" w:color="1D4E89" w:sz="4"/>
              <w:right w:val="single" w:color="1D4E89" w:sz="4"/>
            </w:tcBorders>
            <w:shd w:fill="1D4E8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问题（含提问动机）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6"/>
                <w:szCs w:val="16"/>
              </w:rPr>
              <w:t xml:space="preserve">Question (with rationale)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1</w:t>
            </w:r>
          </w:p>
        </w:tc>
        <w:tc>
          <w:tcPr>
            <w:tcW w:type="dxa" w:w="13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评分标准是什么？看重云原生落地深度，还是技术创新度？——决定 P2/P3 要不要拉进核心范围。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What's the actual grading rubric — cloud-native execution depth, or technical novelty? This decides whether P2/P3 items must move into core scope.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2</w:t>
            </w:r>
          </w:p>
        </w:tc>
        <w:tc>
          <w:tcPr>
            <w:tcW w:type="dxa" w:w="13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把「AI 网关」作为云计算课选题，老师是否认可这个叙事？还是希望看到更传统的分布式系统内核（调度/一致性/容错协议）？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Does an "AI gateway" work as a topic for this course, or would a more traditional distributed-systems core (scheduling, consistency, fault tolerance) be expected?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3</w:t>
            </w:r>
          </w:p>
        </w:tc>
        <w:tc>
          <w:tcPr>
            <w:tcW w:type="dxa" w:w="13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集群与预算谁提供？节点数量、API 额度是否有补贴？——直接决定第 1 天能否开工。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Who provides the cluster and budget — how many nodes, any API credit subsidy? This directly gates whether Day 1 can start on time.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4</w:t>
            </w:r>
          </w:p>
        </w:tc>
        <w:tc>
          <w:tcPr>
            <w:tcW w:type="dxa" w:w="13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四人十天的范围是偏大还是偏小？尤其第 1–6 天节奏是否过紧、有没有缓冲空间？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Is the scope right-sized for 4 people over 10 days — especially whether Days 1–6 are too tight, with no buffer?</w:t>
            </w:r>
          </w:p>
        </w:tc>
      </w:tr>
    </w:tbl>
    <w:p>
      <w:pPr>
        <w:pBdr>
          <w:bottom w:val="single" w:color="1D4E89" w:sz="10" w:space="4"/>
        </w:pBdr>
        <w:spacing w:after="20" w:before="260"/>
      </w:pPr>
      <w:r>
        <w:rPr>
          <w:rFonts w:ascii="Noto Sans SC" w:cs="Noto Sans SC" w:eastAsia="Noto Sans SC" w:hAnsi="Noto Sans SC"/>
          <w:b/>
          <w:bCs/>
          <w:color w:val="1D4E89"/>
          <w:sz w:val="26"/>
          <w:szCs w:val="26"/>
        </w:rPr>
        <w:t xml:space="preserve">二、预判老师可能的质疑与我方应对</w:t>
      </w:r>
      <w:r>
        <w:rPr>
          <w:sz w:val="26"/>
          <w:szCs w:val="26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Anticipated Pushback &amp; Our Prepared Response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6900"/>
      </w:tblGrid>
      <w:tr>
        <w:trPr>
          <w:tblHeader/>
        </w:trPr>
        <w:tc>
          <w:tcPr>
            <w:tcW w:type="dxa" w:w="600"/>
            <w:tcBorders>
              <w:top w:val="single" w:color="1D4E89" w:sz="4"/>
              <w:left w:val="single" w:color="1D4E89" w:sz="4"/>
              <w:bottom w:val="single" w:color="1D4E89" w:sz="4"/>
              <w:right w:val="single" w:color="1D4E89" w:sz="4"/>
            </w:tcBorders>
            <w:shd w:fill="1D4E8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900"/>
            <w:tcBorders>
              <w:top w:val="single" w:color="1D4E89" w:sz="4"/>
              <w:left w:val="single" w:color="1D4E89" w:sz="4"/>
              <w:bottom w:val="single" w:color="1D4E89" w:sz="4"/>
              <w:right w:val="single" w:color="1D4E89" w:sz="4"/>
            </w:tcBorders>
            <w:shd w:fill="1D4E8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可能的质疑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6"/>
                <w:szCs w:val="16"/>
              </w:rPr>
              <w:t xml:space="preserve">Likely Challenge</w:t>
            </w:r>
          </w:p>
        </w:tc>
        <w:tc>
          <w:tcPr>
            <w:tcW w:type="dxa" w:w="6900"/>
            <w:tcBorders>
              <w:top w:val="single" w:color="1D4E89" w:sz="4"/>
              <w:left w:val="single" w:color="1D4E89" w:sz="4"/>
              <w:bottom w:val="single" w:color="1D4E89" w:sz="4"/>
              <w:right w:val="single" w:color="1D4E89" w:sz="4"/>
            </w:tcBorders>
            <w:shd w:fill="1D4E8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我方应对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6"/>
                <w:szCs w:val="16"/>
              </w:rPr>
              <w:t xml:space="preserve">Our Response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1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这跟 LiteLLM / Kong AI Gateway / OpenRouter / Portkey 有什么区别？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How is this different from LiteLLM / Kong AI Gateway / OpenRouter / Portkey?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价值不在发明新东西，而在用云原生方式完整实现一遍并讲清楚每个决策；需确认老师是否认可「把已知思路做扎实」这条路。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The value isn't novelty — it's implementing the idea end-to-end the cloud-native way and being able to explain every decision. Confirm whether "executing a known idea rigorously" is an accepted path.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2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大量依赖 Mock Provider，是不是在自己测自己？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Heavy reliance on Mock Providers — isn't this just testing against yourself?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计划接入两个（而非一个）便宜的真实 Provider，确保至少一次跨供应商切换端到端真实；Mock 仅用于压测和故障注入。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Plan to connect two cheap real providers (not just one), so at least one cross-provider failover is genuinely end-to-end. Mocks are reserved for load testing and fault injection only.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3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「模型感知路由」到底是哪一层？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What layer does "model-aware routing" actually operate at?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术语要精确：Gateway API Inference Extension 讲的是推理副本层（KV-cache/LoRA/队列深度）；我们做的是供应商选择层（价格/健康度）。改口为「供应商选择 / 成本感知路由」。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Precision matters: Gateway API Inference Extension targets the inference-replica layer (KV-cache/LoRA/queue depth); we operate at the vendor-selection layer (price/health). Reword as "vendor selection / cost-aware routing."</w:t>
            </w:r>
          </w:p>
        </w:tc>
      </w:tr>
      <w:tr>
        <w:tc>
          <w:tcPr>
            <w:tcW w:type="dxa" w:w="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2"/>
                <w:szCs w:val="22"/>
              </w:rPr>
              <w:t xml:space="preserve">4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P0 + P1 承诺范围的技术含量够不够？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Is the technical depth of the committed P0/P1 scope sufficient?</w:t>
            </w:r>
          </w:p>
        </w:tc>
        <w:tc>
          <w:tcPr>
            <w:tcW w:type="dxa" w:w="6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3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1F2937"/>
                <w:sz w:val="20"/>
                <w:szCs w:val="20"/>
              </w:rPr>
              <w:t xml:space="preserve">剥掉 P2/P3 后核心是负载均衡 + 缓存 + Prometheus + 规则路由，偏标配。建议把 Provider CRD 从「P2 二选一」提级为核心承诺——最能体现对 K8s 扩展机制的理解。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Stripped of P2/P3, the core is load balancing + caching + Prometheus + rule-based routing — fairly standard. Proposal: promote the Provider CRD from a "P2 either/or" option to a core commitment — it best demonstrates understanding of K8s extension mechanisms.</w:t>
            </w:r>
          </w:p>
        </w:tc>
      </w:tr>
    </w:tbl>
    <w:p>
      <w:pPr>
        <w:spacing w:before="220"/>
      </w:pPr>
    </w:p>
    <w:p>
      <w:r>
        <w:rPr>
          <w:rFonts w:ascii="Noto Sans SC" w:cs="Noto Sans SC" w:eastAsia="Noto Sans SC" w:hAnsi="Noto Sans SC"/>
          <w:b/>
          <w:bCs/>
          <w:color w:val="1F2937"/>
          <w:sz w:val="18"/>
          <w:szCs w:val="18"/>
        </w:rPr>
        <w:t xml:space="preserve">备注：</w:t>
      </w:r>
      <w:r>
        <w:rPr>
          <w:rFonts w:ascii="Noto Sans SC" w:cs="Noto Sans SC" w:eastAsia="Noto Sans SC" w:hAnsi="Noto Sans SC"/>
          <w:color w:val="1F2937"/>
          <w:sz w:val="18"/>
          <w:szCs w:val="18"/>
        </w:rPr>
        <w:t xml:space="preserve">明天口头表述统一改用「供应商选择 / 成本感知路由」，避免与 Gateway API Inference Extension 的「推理副本层路由」混淆。</w:t>
      </w:r>
    </w:p>
    <w:p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Note: From tomorrow, consistently say "vendor selection / cost-aware routing" in speech, to avoid conflation with the inference-replica-layer routing that Gateway API Inference Extension actually targets.</w:t>
      </w:r>
    </w:p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2026-07-16T12:53:43.374Z</dcterms:created>
  <dcterms:modified xsi:type="dcterms:W3CDTF">2026-07-16T12:53:43.391Z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