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4EDAC" w14:textId="3745F79E" w:rsidR="000F4E30" w:rsidRPr="00A83A3D" w:rsidRDefault="000F4E30" w:rsidP="000F4E30">
      <w:pPr>
        <w:spacing w:before="100" w:beforeAutospacing="1" w:after="100" w:afterAutospacing="1" w:line="240" w:lineRule="auto"/>
        <w:outlineLvl w:val="1"/>
        <w:rPr>
          <w:rFonts w:eastAsia="Times New Roman" w:cs="Segoe UI"/>
          <w:b/>
          <w:bCs/>
          <w:kern w:val="0"/>
          <w:sz w:val="32"/>
          <w:szCs w:val="32"/>
          <w:lang w:eastAsia="en-GB"/>
          <w14:ligatures w14:val="none"/>
        </w:rPr>
      </w:pPr>
      <w:r w:rsidRPr="00A83A3D">
        <w:rPr>
          <w:rFonts w:eastAsia="Times New Roman" w:cs="Segoe UI"/>
          <w:b/>
          <w:bCs/>
          <w:kern w:val="0"/>
          <w:sz w:val="32"/>
          <w:szCs w:val="32"/>
          <w:lang w:eastAsia="en-GB"/>
          <w14:ligatures w14:val="none"/>
        </w:rPr>
        <w:t>R2</w:t>
      </w:r>
      <w:r w:rsidR="00A83A3D" w:rsidRPr="00A83A3D">
        <w:rPr>
          <w:rFonts w:eastAsia="Times New Roman" w:cs="Segoe UI"/>
          <w:b/>
          <w:bCs/>
          <w:kern w:val="0"/>
          <w:sz w:val="32"/>
          <w:szCs w:val="32"/>
          <w:lang w:eastAsia="en-GB"/>
          <w14:ligatures w14:val="none"/>
        </w:rPr>
        <w:t xml:space="preserve"> </w:t>
      </w:r>
      <w:r w:rsidRPr="00A83A3D">
        <w:rPr>
          <w:rFonts w:eastAsia="Times New Roman" w:cs="Segoe UI"/>
          <w:b/>
          <w:bCs/>
          <w:kern w:val="0"/>
          <w:sz w:val="32"/>
          <w:szCs w:val="32"/>
          <w:lang w:eastAsia="en-GB"/>
          <w14:ligatures w14:val="none"/>
        </w:rPr>
        <w:t>Copper and China's Industrial Pulse: Interpretation</w:t>
      </w:r>
    </w:p>
    <w:p w14:paraId="462EA372" w14:textId="77777777" w:rsidR="000F4E30" w:rsidRPr="00A83A3D" w:rsidRDefault="000F4E30" w:rsidP="000F4E30">
      <w:pPr>
        <w:spacing w:before="100" w:beforeAutospacing="1" w:after="100" w:afterAutospacing="1" w:line="240" w:lineRule="auto"/>
        <w:outlineLvl w:val="2"/>
        <w:rPr>
          <w:rFonts w:eastAsia="Times New Roman" w:cs="Segoe UI"/>
          <w:b/>
          <w:bCs/>
          <w:kern w:val="0"/>
          <w:lang w:eastAsia="en-GB"/>
          <w14:ligatures w14:val="none"/>
        </w:rPr>
      </w:pPr>
      <w:r w:rsidRPr="00A83A3D">
        <w:rPr>
          <w:rFonts w:eastAsia="Times New Roman" w:cs="Segoe UI"/>
          <w:b/>
          <w:bCs/>
          <w:kern w:val="0"/>
          <w:lang w:eastAsia="en-GB"/>
          <w14:ligatures w14:val="none"/>
        </w:rPr>
        <w:t>Question and mechanism</w:t>
      </w:r>
    </w:p>
    <w:p w14:paraId="06411C97" w14:textId="77777777" w:rsidR="000F4E30" w:rsidRPr="00A83A3D" w:rsidRDefault="000F4E30" w:rsidP="000F4E30">
      <w:pPr>
        <w:spacing w:after="240" w:line="240" w:lineRule="auto"/>
        <w:rPr>
          <w:rFonts w:eastAsia="Times New Roman" w:cs="Segoe UI"/>
          <w:kern w:val="0"/>
          <w:lang w:eastAsia="en-GB"/>
          <w14:ligatures w14:val="none"/>
        </w:rPr>
      </w:pPr>
      <w:r w:rsidRPr="00A83A3D">
        <w:rPr>
          <w:rFonts w:eastAsia="Times New Roman" w:cs="Segoe UI"/>
          <w:kern w:val="0"/>
          <w:lang w:eastAsia="en-GB"/>
          <w14:ligatures w14:val="none"/>
        </w:rPr>
        <w:t>This analysis asks whether movements in copper prices tend to precede shifts in China's industrial momentum, and if so, by how much and how reliably. The proposed mechanism is straightforward: copper demand reflects expected manufacturing activity, and restocking phases can lift prices ahead of coincident activity measures. A rise in copper should therefore signal an incoming acceleration in China's industrial pulse within one to three months.</w:t>
      </w:r>
    </w:p>
    <w:p w14:paraId="0AF28DF9" w14:textId="77777777" w:rsidR="000F4E30" w:rsidRPr="00A83A3D" w:rsidRDefault="000F4E30" w:rsidP="000F4E30">
      <w:pPr>
        <w:spacing w:before="100" w:beforeAutospacing="1" w:after="100" w:afterAutospacing="1" w:line="240" w:lineRule="auto"/>
        <w:outlineLvl w:val="2"/>
        <w:rPr>
          <w:rFonts w:eastAsia="Times New Roman" w:cs="Segoe UI"/>
          <w:b/>
          <w:bCs/>
          <w:kern w:val="0"/>
          <w:lang w:eastAsia="en-GB"/>
          <w14:ligatures w14:val="none"/>
        </w:rPr>
      </w:pPr>
      <w:r w:rsidRPr="00A83A3D">
        <w:rPr>
          <w:rFonts w:eastAsia="Times New Roman" w:cs="Segoe UI"/>
          <w:b/>
          <w:bCs/>
          <w:kern w:val="0"/>
          <w:lang w:eastAsia="en-GB"/>
          <w14:ligatures w14:val="none"/>
        </w:rPr>
        <w:t>Evidence</w:t>
      </w:r>
    </w:p>
    <w:p w14:paraId="163D3704" w14:textId="77777777" w:rsidR="000F4E30" w:rsidRPr="00A83A3D" w:rsidRDefault="000F4E30" w:rsidP="000F4E30">
      <w:pPr>
        <w:spacing w:after="240" w:line="240" w:lineRule="auto"/>
        <w:rPr>
          <w:rFonts w:eastAsia="Times New Roman" w:cs="Segoe UI"/>
          <w:kern w:val="0"/>
          <w:lang w:eastAsia="en-GB"/>
          <w14:ligatures w14:val="none"/>
        </w:rPr>
      </w:pPr>
      <w:r w:rsidRPr="00A83A3D">
        <w:rPr>
          <w:rFonts w:eastAsia="Times New Roman" w:cs="Segoe UI"/>
          <w:kern w:val="0"/>
          <w:lang w:eastAsia="en-GB"/>
          <w14:ligatures w14:val="none"/>
        </w:rPr>
        <w:t>The Industrial Pulse was constructed as an equal-weighted average of three standardised monthly series: China NBS Manufacturing PMI, China export growth (MoM, SA), and the OECD China Manufacturing Business Confidence Index. Copper was expressed as a 3-month rolling return. The sample covers January 2015 to December 2024, yielding 120 monthly observations and 11 copper rise episodes (defined as the 3-month return crossing above +5%).</w:t>
      </w:r>
    </w:p>
    <w:p w14:paraId="457458B6" w14:textId="77777777" w:rsidR="000F4E30" w:rsidRPr="00A83A3D" w:rsidRDefault="000F4E30" w:rsidP="000F4E30">
      <w:pPr>
        <w:spacing w:after="240" w:line="240" w:lineRule="auto"/>
        <w:rPr>
          <w:rFonts w:eastAsia="Times New Roman" w:cs="Segoe UI"/>
          <w:kern w:val="0"/>
          <w:lang w:eastAsia="en-GB"/>
          <w14:ligatures w14:val="none"/>
        </w:rPr>
      </w:pPr>
      <w:r w:rsidRPr="00A83A3D">
        <w:rPr>
          <w:rFonts w:eastAsia="Times New Roman" w:cs="Segoe UI"/>
          <w:kern w:val="0"/>
          <w:lang w:eastAsia="en-GB"/>
          <w14:ligatures w14:val="none"/>
        </w:rPr>
        <w:t>The hit rate — the share of copper rise episodes followed by a pulse rise — increases with the horizon: 36% within one month, 55% within two months, and 64% within three months. These results are robust to a lower threshold of +3%, which yields hit rates of 50%, 67%, and 75% respectively. The rising pattern across horizons is consistent with a lagged relationship, but the 1-month hit rate is too weak to suggest a tight or mechanical lead.</w:t>
      </w:r>
    </w:p>
    <w:p w14:paraId="1B7C2A2B" w14:textId="77777777" w:rsidR="000F4E30" w:rsidRPr="00A83A3D" w:rsidRDefault="000F4E30" w:rsidP="000F4E30">
      <w:pPr>
        <w:spacing w:before="100" w:beforeAutospacing="1" w:after="100" w:afterAutospacing="1" w:line="240" w:lineRule="auto"/>
        <w:outlineLvl w:val="2"/>
        <w:rPr>
          <w:rFonts w:eastAsia="Times New Roman" w:cs="Segoe UI"/>
          <w:b/>
          <w:bCs/>
          <w:kern w:val="0"/>
          <w:lang w:eastAsia="en-GB"/>
          <w14:ligatures w14:val="none"/>
        </w:rPr>
      </w:pPr>
      <w:r w:rsidRPr="00A83A3D">
        <w:rPr>
          <w:rFonts w:eastAsia="Times New Roman" w:cs="Segoe UI"/>
          <w:b/>
          <w:bCs/>
          <w:kern w:val="0"/>
          <w:lang w:eastAsia="en-GB"/>
          <w14:ligatures w14:val="none"/>
        </w:rPr>
        <w:t>Interpretation</w:t>
      </w:r>
    </w:p>
    <w:p w14:paraId="056A6441" w14:textId="77777777" w:rsidR="000F4E30" w:rsidRPr="00A83A3D" w:rsidRDefault="000F4E30" w:rsidP="000F4E30">
      <w:pPr>
        <w:spacing w:after="240" w:line="240" w:lineRule="auto"/>
        <w:rPr>
          <w:rFonts w:eastAsia="Times New Roman" w:cs="Segoe UI"/>
          <w:kern w:val="0"/>
          <w:lang w:eastAsia="en-GB"/>
          <w14:ligatures w14:val="none"/>
        </w:rPr>
      </w:pPr>
      <w:r w:rsidRPr="00A83A3D">
        <w:rPr>
          <w:rFonts w:eastAsia="Times New Roman" w:cs="Segoe UI"/>
          <w:kern w:val="0"/>
          <w:lang w:eastAsia="en-GB"/>
          <w14:ligatures w14:val="none"/>
        </w:rPr>
        <w:t>The evidence supports a moderate tendency for copper to lead China's industrial pulse by two to three months, but with important caveats. First, the relationship fails in roughly one in three episodes, making it insufficient as a standalone trading signal. Second, two episodes illustrate the main sources of breakdown. During 2015–16, copper fell sharply while the pulse remained relatively stable — a period when US dollar strength depressed copper independently of China-specific demand conditions. Third, the COVID crash of early 2020 represents a simultaneous collapse in both series — an exogenous shock where no leading indicator holds.</w:t>
      </w:r>
    </w:p>
    <w:p w14:paraId="5D94C0AB" w14:textId="77777777" w:rsidR="000F4E30" w:rsidRPr="00A83A3D" w:rsidRDefault="000F4E30" w:rsidP="000F4E30">
      <w:pPr>
        <w:spacing w:before="100" w:beforeAutospacing="1" w:after="100" w:afterAutospacing="1" w:line="240" w:lineRule="auto"/>
        <w:outlineLvl w:val="2"/>
        <w:rPr>
          <w:rFonts w:eastAsia="Times New Roman" w:cs="Segoe UI"/>
          <w:b/>
          <w:bCs/>
          <w:kern w:val="0"/>
          <w:lang w:eastAsia="en-GB"/>
          <w14:ligatures w14:val="none"/>
        </w:rPr>
      </w:pPr>
      <w:r w:rsidRPr="00A83A3D">
        <w:rPr>
          <w:rFonts w:eastAsia="Times New Roman" w:cs="Segoe UI"/>
          <w:b/>
          <w:bCs/>
          <w:kern w:val="0"/>
          <w:lang w:eastAsia="en-GB"/>
          <w14:ligatures w14:val="none"/>
        </w:rPr>
        <w:t>Positioning implications and caveats</w:t>
      </w:r>
    </w:p>
    <w:p w14:paraId="2EB03CA9" w14:textId="77777777" w:rsidR="000F4E30" w:rsidRPr="00A83A3D" w:rsidRDefault="000F4E30" w:rsidP="000F4E30">
      <w:pPr>
        <w:spacing w:after="120" w:line="240" w:lineRule="auto"/>
        <w:rPr>
          <w:rFonts w:eastAsia="Times New Roman" w:cs="Segoe UI"/>
          <w:kern w:val="0"/>
          <w:lang w:eastAsia="en-GB"/>
          <w14:ligatures w14:val="none"/>
        </w:rPr>
      </w:pPr>
      <w:r w:rsidRPr="00A83A3D">
        <w:rPr>
          <w:rFonts w:eastAsia="Times New Roman" w:cs="Segoe UI"/>
          <w:kern w:val="0"/>
          <w:lang w:eastAsia="en-GB"/>
          <w14:ligatures w14:val="none"/>
        </w:rPr>
        <w:t xml:space="preserve">Where the signal does hold — particularly during normal restocking cycles such as the 2020–21 recovery — early copper strength would benefit cyclical sector exposures: materials, industrials, and energy. Factor tilts toward value and small-cap within those sectors tend to outperform during reflationary phases that copper anticipates. However, confidence in any copper-based signal should be conditioned on dollar direction and the absence of exogenous shocks. A copper rise accompanied by a </w:t>
      </w:r>
      <w:r w:rsidRPr="00A83A3D">
        <w:rPr>
          <w:rFonts w:eastAsia="Times New Roman" w:cs="Segoe UI"/>
          <w:kern w:val="0"/>
          <w:lang w:eastAsia="en-GB"/>
          <w14:ligatures w14:val="none"/>
        </w:rPr>
        <w:lastRenderedPageBreak/>
        <w:t>weakening dollar and stable credit conditions is a stronger signal than one occurring against a backdrop of dollar strength or financial stress.</w:t>
      </w:r>
    </w:p>
    <w:p w14:paraId="19F503B5" w14:textId="77777777" w:rsidR="000F4E30" w:rsidRPr="00A83A3D" w:rsidRDefault="000F4E30"/>
    <w:sectPr w:rsidR="000F4E30" w:rsidRPr="00A83A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E30"/>
    <w:rsid w:val="000F4E30"/>
    <w:rsid w:val="0066624D"/>
    <w:rsid w:val="00783475"/>
    <w:rsid w:val="00A83A3D"/>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19EFD770"/>
  <w15:chartTrackingRefBased/>
  <w15:docId w15:val="{5B35C951-8C0F-C342-9A61-5818E7E51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F4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F4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4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4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4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F4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F4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4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4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4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E30"/>
    <w:rPr>
      <w:rFonts w:eastAsiaTheme="majorEastAsia" w:cstheme="majorBidi"/>
      <w:color w:val="272727" w:themeColor="text1" w:themeTint="D8"/>
    </w:rPr>
  </w:style>
  <w:style w:type="paragraph" w:styleId="Title">
    <w:name w:val="Title"/>
    <w:basedOn w:val="Normal"/>
    <w:next w:val="Normal"/>
    <w:link w:val="TitleChar"/>
    <w:uiPriority w:val="10"/>
    <w:qFormat/>
    <w:rsid w:val="000F4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E30"/>
    <w:pPr>
      <w:spacing w:before="160"/>
      <w:jc w:val="center"/>
    </w:pPr>
    <w:rPr>
      <w:i/>
      <w:iCs/>
      <w:color w:val="404040" w:themeColor="text1" w:themeTint="BF"/>
    </w:rPr>
  </w:style>
  <w:style w:type="character" w:customStyle="1" w:styleId="QuoteChar">
    <w:name w:val="Quote Char"/>
    <w:basedOn w:val="DefaultParagraphFont"/>
    <w:link w:val="Quote"/>
    <w:uiPriority w:val="29"/>
    <w:rsid w:val="000F4E30"/>
    <w:rPr>
      <w:i/>
      <w:iCs/>
      <w:color w:val="404040" w:themeColor="text1" w:themeTint="BF"/>
    </w:rPr>
  </w:style>
  <w:style w:type="paragraph" w:styleId="ListParagraph">
    <w:name w:val="List Paragraph"/>
    <w:basedOn w:val="Normal"/>
    <w:uiPriority w:val="34"/>
    <w:qFormat/>
    <w:rsid w:val="000F4E30"/>
    <w:pPr>
      <w:ind w:left="720"/>
      <w:contextualSpacing/>
    </w:pPr>
  </w:style>
  <w:style w:type="character" w:styleId="IntenseEmphasis">
    <w:name w:val="Intense Emphasis"/>
    <w:basedOn w:val="DefaultParagraphFont"/>
    <w:uiPriority w:val="21"/>
    <w:qFormat/>
    <w:rsid w:val="000F4E30"/>
    <w:rPr>
      <w:i/>
      <w:iCs/>
      <w:color w:val="0F4761" w:themeColor="accent1" w:themeShade="BF"/>
    </w:rPr>
  </w:style>
  <w:style w:type="paragraph" w:styleId="IntenseQuote">
    <w:name w:val="Intense Quote"/>
    <w:basedOn w:val="Normal"/>
    <w:next w:val="Normal"/>
    <w:link w:val="IntenseQuoteChar"/>
    <w:uiPriority w:val="30"/>
    <w:qFormat/>
    <w:rsid w:val="000F4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4E30"/>
    <w:rPr>
      <w:i/>
      <w:iCs/>
      <w:color w:val="0F4761" w:themeColor="accent1" w:themeShade="BF"/>
    </w:rPr>
  </w:style>
  <w:style w:type="character" w:styleId="IntenseReference">
    <w:name w:val="Intense Reference"/>
    <w:basedOn w:val="DefaultParagraphFont"/>
    <w:uiPriority w:val="32"/>
    <w:qFormat/>
    <w:rsid w:val="000F4E30"/>
    <w:rPr>
      <w:b/>
      <w:bCs/>
      <w:smallCaps/>
      <w:color w:val="0F4761" w:themeColor="accent1" w:themeShade="BF"/>
      <w:spacing w:val="5"/>
    </w:rPr>
  </w:style>
  <w:style w:type="paragraph" w:styleId="NormalWeb">
    <w:name w:val="Normal (Web)"/>
    <w:basedOn w:val="Normal"/>
    <w:uiPriority w:val="99"/>
    <w:semiHidden/>
    <w:unhideWhenUsed/>
    <w:rsid w:val="000F4E30"/>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410</Words>
  <Characters>2340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Tanco Alonso</dc:creator>
  <cp:keywords/>
  <dc:description/>
  <cp:lastModifiedBy>Hector Tanco Alonso</cp:lastModifiedBy>
  <cp:revision>1</cp:revision>
  <cp:lastPrinted>2026-06-12T13:27:00Z</cp:lastPrinted>
  <dcterms:created xsi:type="dcterms:W3CDTF">2026-06-12T11:23:00Z</dcterms:created>
  <dcterms:modified xsi:type="dcterms:W3CDTF">2026-06-12T13:28:00Z</dcterms:modified>
</cp:coreProperties>
</file>