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sz w:val="32"/>
        </w:rPr>
        <w:t>Speed Safety Score: AI-Powered Road Speed Limit Assessment</w:t>
      </w:r>
    </w:p>
    <w:p>
      <w:pPr>
        <w:pStyle w:val="Heading2"/>
        <w:spacing w:before="200" w:after="80"/>
      </w:pPr>
      <w:r>
        <w:rPr>
          <w:b/>
          <w:sz w:val="26"/>
        </w:rPr>
        <w:t>Findings Summary — AI for Safer Roads Innovation Challenge 2026</w:t>
      </w:r>
    </w:p>
    <w:p>
      <w:pPr>
        <w:spacing w:before="0" w:after="120"/>
      </w:pPr>
      <w:r/>
      <w:r>
        <w:rPr>
          <w:b/>
        </w:rPr>
        <w:t>Team:</w:t>
      </w:r>
      <w:r>
        <w:t xml:space="preserve"> hksamm | Pusan National University, Republic of Korea | June 2026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80"/>
      </w:pPr>
      <w:r>
        <w:rPr>
          <w:b/>
          <w:sz w:val="26"/>
        </w:rPr>
        <w:t>The Problem We Solve</w:t>
      </w:r>
    </w:p>
    <w:p>
      <w:pPr>
        <w:spacing w:before="0" w:after="120"/>
      </w:pPr>
      <w:r>
        <w:t xml:space="preserve">Road crashes kill 1.35 million people annually. Speed is a factor in nearly one-third of all fatalities. But the question most safety tools answer — </w:t>
      </w:r>
      <w:r>
        <w:rPr>
          <w:i/>
        </w:rPr>
        <w:t>are drivers speeding?</w:t>
      </w:r>
      <w:r>
        <w:t xml:space="preserve"> — is the wrong question. The right question is: </w:t>
      </w:r>
      <w:r>
        <w:rPr>
          <w:b/>
        </w:rPr>
        <w:t>is the posted speed limit itself appropriate for this road's context, land use, and the people who use it?</w:t>
      </w:r>
      <w:r/>
    </w:p>
    <w:p>
      <w:pPr>
        <w:spacing w:before="0" w:after="120"/>
      </w:pPr>
      <w:r>
        <w:t>This submission scores every road segment in the dataset against WHO Safe System thresholds and produces a ranked, budget-constrained intervention portfolio governments can act on immediately.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80"/>
      </w:pPr>
      <w:r>
        <w:rPr>
          <w:b/>
          <w:sz w:val="26"/>
        </w:rPr>
        <w:t>Methodology: Five-Stage AI Pipeline</w:t>
      </w:r>
    </w:p>
    <w:p>
      <w:pPr>
        <w:spacing w:before="0" w:after="120"/>
      </w:pPr>
      <w:r/>
      <w:r>
        <w:rPr>
          <w:b/>
        </w:rPr>
        <w:t>Stage 1 — Safe System Tabular Scorer.</w:t>
      </w:r>
      <w:r>
        <w:t xml:space="preserve"> Each of the 14,711 segments receives a Speed Safety Score (0–100) from five sub-scores weighted by policy relevance: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t>85th-percentile speed vs. Safe System threshold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40%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TomTom GPS probe data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t>Posted limit vs. Safe System threshold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20%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TomTom / Overture Maps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t>Vehicles exceeding posted limit (%)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20%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TomTom probe data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t>Traffic volume exposure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10%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TomTom ranked percentile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t>VRU vulnerability (inverse helmet rate × population density)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10%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t>ADB SPI + WorldPop 2020</w:t>
            </w:r>
          </w:p>
        </w:tc>
      </w:tr>
    </w:tbl>
    <w:p/>
    <w:p>
      <w:pPr>
        <w:spacing w:before="0" w:after="120"/>
      </w:pPr>
      <w:r>
        <w:t>Safe System thresholds follow WHO/UNECE guidance (50 km/h urban primary, 60 km/h urban trunk, 80 km/h rural primary, 110 km/h motorway). Scores map to grades A (Safe) → D (Unsafe) at 20-point intervals. The Nilsson Power Model — fatality reduction = 1 − (v_safe / v_85th)⁴ — converts each score into a fatality-reduction estimate if the limit were corrected.</w:t>
      </w:r>
    </w:p>
    <w:p>
      <w:pPr>
        <w:spacing w:before="0" w:after="120"/>
      </w:pPr>
      <w:r/>
      <w:r>
        <w:rPr>
          <w:b/>
        </w:rPr>
        <w:t>Stage 2 — Street-Level Vision Analysis.</w:t>
      </w:r>
      <w:r>
        <w:t xml:space="preserve"> 8,900+ images retrieved from Mapillary for all segments. Qwen2-VL-72B (72-billion-parameter vision-language model, running across 6 NVIDIA RTX A5000 GPUs) extracts seven road safety features per image: pedestrian infrastructure, cyclist infrastructure, roadside activity, road surface condition, signage quality, VRU presence, and sightline quality. YOLOv8-L object detection provides an independent, objective VRU count cross-validating the VLM assessment. 4,195 high-risk segments processed in 26 minutes.</w:t>
      </w:r>
    </w:p>
    <w:p>
      <w:pPr>
        <w:spacing w:before="0" w:after="120"/>
      </w:pPr>
      <w:r/>
      <w:r>
        <w:rPr>
          <w:b/>
        </w:rPr>
        <w:t>Stage 3 — Graph Attention Network + Uncertainty.</w:t>
      </w:r>
      <w:r>
        <w:t xml:space="preserve"> Road segments modelled as a spatial graph (20m endpoint snap). A 3-layer GAT (4 attention heads, skip connections, 300 epochs) learns to propagate risk context through road network topology — a dangerous arterial raises the risk score of connected streets. Monte Carlo Dropout (50 stochastic forward passes) produces per-segment 95% confidence intervals. Segments where the CI spans a grade boundary are flagged </w:t>
      </w:r>
      <w:r>
        <w:rPr>
          <w:rFonts w:ascii="Courier New" w:hAnsi="Courier New"/>
          <w:sz w:val="18"/>
        </w:rPr>
        <w:t>grade_uncertain</w:t>
      </w:r>
      <w:r>
        <w:t xml:space="preserve"> — the true grade is ambiguous and warrants on-ground review.</w:t>
      </w:r>
    </w:p>
    <w:p>
      <w:pPr>
        <w:spacing w:before="0" w:after="120"/>
      </w:pPr>
      <w:r/>
      <w:r>
        <w:rPr>
          <w:b/>
        </w:rPr>
        <w:t>Final score fusion:</w:t>
      </w:r>
      <w:r>
        <w:t xml:space="preserve"> 0.45 × Stage 1 + 0.25 × GNN + 0.30 × VLM (with imagery); 0.60/0.40 fallback.</w:t>
      </w:r>
    </w:p>
    <w:p>
      <w:pPr>
        <w:spacing w:before="0" w:after="120"/>
      </w:pPr>
      <w:r/>
      <w:r>
        <w:rPr>
          <w:b/>
        </w:rPr>
        <w:t>Post-scoring analysis:</w:t>
      </w:r>
      <w:r>
        <w:t xml:space="preserve"> Economic impact via World Bank VOSL × Nilsson × VMT proxy; KMeans archetype clustering (k=5) producing five risk patterns with tailored interventions; greedy portfolio optimiser selecting the highest-ROI segments for any budget from 10 to 500 interventions; counterfactual policy simulation.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80"/>
      </w:pPr>
      <w:r>
        <w:rPr>
          <w:b/>
          <w:sz w:val="26"/>
        </w:rPr>
        <w:t>Key Findings</w:t>
      </w:r>
    </w:p>
    <w:p>
      <w:pPr>
        <w:pStyle w:val="Heading3"/>
        <w:spacing w:before="160" w:after="60"/>
      </w:pPr>
      <w:r>
        <w:rPr>
          <w:b/>
          <w:sz w:val="22"/>
        </w:rPr>
        <w:t>Thailand — 11,134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Segments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Share</w:t>
            </w:r>
          </w:p>
        </w:tc>
      </w:tr>
      <w:tr>
        <w:tc>
          <w:tcPr>
            <w:tcW w:type="dxa" w:w="2196"/>
          </w:tcPr>
          <w:p>
            <w:pPr>
              <w:spacing w:after="40"/>
            </w:pPr>
            <w:r>
              <w:t>A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Safe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128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1.1%</w:t>
            </w:r>
          </w:p>
        </w:tc>
      </w:tr>
      <w:tr>
        <w:tc>
          <w:tcPr>
            <w:tcW w:type="dxa" w:w="2196"/>
          </w:tcPr>
          <w:p>
            <w:pPr>
              <w:spacing w:after="40"/>
            </w:pPr>
            <w:r>
              <w:t>B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Adequate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5,019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45.1%</w:t>
            </w:r>
          </w:p>
        </w:tc>
      </w:tr>
      <w:tr>
        <w:tc>
          <w:tcPr>
            <w:tcW w:type="dxa" w:w="2196"/>
          </w:tcPr>
          <w:p>
            <w:pPr>
              <w:spacing w:after="40"/>
            </w:pPr>
            <w:r>
              <w:t>C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Caution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5,586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50.2%</w:t>
            </w:r>
          </w:p>
        </w:tc>
      </w:tr>
      <w:tr>
        <w:tc>
          <w:tcPr>
            <w:tcW w:type="dxa" w:w="2196"/>
          </w:tcPr>
          <w:p>
            <w:pPr>
              <w:spacing w:after="40"/>
            </w:pPr>
            <w:r>
              <w:t>D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Unsafe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401</w:t>
            </w:r>
          </w:p>
        </w:tc>
        <w:tc>
          <w:tcPr>
            <w:tcW w:type="dxa" w:w="2196"/>
          </w:tcPr>
          <w:p>
            <w:pPr>
              <w:spacing w:after="40"/>
            </w:pPr>
            <w:r>
              <w:t>3.6%</w:t>
            </w:r>
          </w:p>
        </w:tc>
      </w:tr>
    </w:tbl>
    <w:p/>
    <w:p>
      <w:pPr>
        <w:spacing w:before="0" w:after="120"/>
      </w:pPr>
      <w:r/>
      <w:r>
        <w:rPr>
          <w:b/>
        </w:rPr>
        <w:t>97.8% of Grade D segments (392/401) are a single archetype: "Urban Speedway"</w:t>
      </w:r>
      <w:r>
        <w:t xml:space="preserve"> — Thailand's urban primary road default of 80–90 km/h applied to city streets where the Safe System threshold is 50 km/h. This is a legislative misalignment, not a road-by-road problem. One ministerial regulation corrects it.</w:t>
      </w:r>
    </w:p>
    <w:p>
      <w:pPr>
        <w:spacing w:before="0" w:after="120"/>
      </w:pPr>
      <w:r/>
      <w:r>
        <w:rPr>
          <w:b/>
        </w:rPr>
        <w:t>Economic value:</w:t>
      </w:r>
      <w:r>
        <w:t xml:space="preserve"> Correcting all 401 Grade D segments = </w:t>
      </w:r>
      <w:r>
        <w:rPr>
          <w:b/>
        </w:rPr>
        <w:t>$1,153.5M USD/year</w:t>
      </w:r>
      <w:r>
        <w:t xml:space="preserve"> (World Bank VSL $1.26M, IRTAD 8.4 fatal crashes per 100M VMT). Highest-priority single segment: Phahon Yothin Road, Bangkok — </w:t>
      </w:r>
      <w:r>
        <w:rPr>
          <w:b/>
        </w:rPr>
        <w:t>$51.4M/yr</w:t>
      </w:r>
      <w:r>
        <w:t>, 94.98% Nilsson fatality reduction.</w:t>
      </w:r>
    </w:p>
    <w:p>
      <w:pPr>
        <w:spacing w:before="0" w:after="120"/>
      </w:pPr>
      <w:r/>
      <w:r>
        <w:rPr>
          <w:b/>
        </w:rPr>
        <w:t>Counterfactual Scenario B:</w:t>
      </w:r>
      <w:r>
        <w:t xml:space="preserve"> Reduce urban primary/trunk default to 50 km/h — </w:t>
      </w:r>
      <w:r>
        <w:rPr>
          <w:b/>
        </w:rPr>
        <w:t>one legislative act, zero capital expenditure</w:t>
      </w:r>
      <w:r>
        <w:t xml:space="preserve"> — addresses 200 of 401 Grade D segments and captures </w:t>
      </w:r>
      <w:r>
        <w:rPr>
          <w:b/>
        </w:rPr>
        <w:t>$868.5M/yr</w:t>
      </w:r>
      <w:r>
        <w:t xml:space="preserve"> (75% of full-adoption value) within 12 months of enactment.</w:t>
      </w:r>
    </w:p>
    <w:p>
      <w:pPr>
        <w:spacing w:before="0" w:after="120"/>
      </w:pPr>
      <w:r/>
      <w:r>
        <w:rPr>
          <w:b/>
        </w:rPr>
        <w:t>5,406 segments (48.6%) are grade-uncertain:</w:t>
      </w:r>
      <w:r>
        <w:t xml:space="preserve"> 95% CI spans the C/D or B/C boundary. These are not errors — they are honest signals for field verification.</w:t>
      </w:r>
    </w:p>
    <w:p>
      <w:pPr>
        <w:pStyle w:val="Heading3"/>
        <w:spacing w:before="160" w:after="60"/>
      </w:pPr>
      <w:r>
        <w:rPr>
          <w:b/>
          <w:sz w:val="22"/>
        </w:rPr>
        <w:t>Maharashtra — 3,577 segments</w:t>
      </w:r>
    </w:p>
    <w:p>
      <w:pPr>
        <w:spacing w:before="0" w:after="120"/>
      </w:pPr>
      <w:r>
        <w:t xml:space="preserve">The GNN reclassified all tabular-Grade-D segments to </w:t>
      </w:r>
      <w:r>
        <w:rPr>
          <w:b/>
        </w:rPr>
        <w:t>Grade C</w:t>
      </w:r>
      <w:r>
        <w:t xml:space="preserve"> after incorporating spatial network context: Maharashtra's high-risk segments cluster in urban corridors surrounded by Grade B roads, reducing systemic risk relative to isolated Grade D segments. This is the model working correctly.</w:t>
      </w:r>
    </w:p>
    <w:p>
      <w:pPr>
        <w:spacing w:before="0" w:after="120"/>
      </w:pPr>
      <w:r/>
      <w:r>
        <w:rPr>
          <w:b/>
        </w:rPr>
        <w:t>296 Grade C segments = $987.3M/yr</w:t>
      </w:r>
      <w:r>
        <w:t xml:space="preserve"> in economic risk. The amplifying factor: </w:t>
      </w:r>
      <w:r>
        <w:rPr>
          <w:b/>
        </w:rPr>
        <w:t>only 1.2% of motorcycle passengers wear helmets</w:t>
      </w:r>
      <w:r>
        <w:t xml:space="preserve"> (vs. 77.8% in Thailand). At 80–100 km/h on a Grade C segment, a crash is almost certainly fatal for unprotected riders. Speed and helmet enforcement must be implemented together.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80"/>
      </w:pPr>
      <w:r>
        <w:rPr>
          <w:b/>
          <w:sz w:val="26"/>
        </w:rPr>
        <w:t>Ground-Truth Validation</w:t>
      </w:r>
    </w:p>
    <w:p>
      <w:pPr>
        <w:spacing w:before="0" w:after="120"/>
      </w:pPr>
      <w:r>
        <w:t xml:space="preserve">The model was built entirely without crash data. It was then tested against </w:t>
      </w:r>
      <w:r>
        <w:rPr>
          <w:b/>
        </w:rPr>
        <w:t>80,849 GPS-verified crash records from Thailand's Ministry of Transport (MOT/TRAMS, 2019–2022)</w:t>
      </w:r>
      <w:r>
        <w:t xml:space="preserve"> — fully out-of-sample.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Validation test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Spearman ρ (score vs. crash density)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ρ = 0.093, p = 3.28×10⁻¹⁵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AUC (score predicts crash hotspot)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0.582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Mann-Whitney U (Grade D crash rate &gt; Grade B)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p = 3.79×10⁻⁷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Crashes spatially matched to segments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71,362 / 80,849 (88.3%)</w:t>
            </w:r>
          </w:p>
        </w:tc>
      </w:tr>
    </w:tbl>
    <w:p/>
    <w:p>
      <w:pPr>
        <w:spacing w:before="0" w:after="120"/>
      </w:pPr>
      <w:r/>
      <w:r>
        <w:rPr>
          <w:b/>
        </w:rPr>
        <w:t>Fatality rate increases monotonically with grade — without the model ever seeing crash data: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after="40"/>
            </w:pPr>
            <w:r>
              <w:rPr>
                <w:b/>
                <w:color w:val="FFFFFF"/>
              </w:rPr>
              <w:t>Avg fatalities/yr/segment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A — Safe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0.039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B — Adequate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0.172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C — Caution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0.273</w:t>
            </w:r>
          </w:p>
        </w:tc>
      </w:tr>
      <w:tr>
        <w:tc>
          <w:tcPr>
            <w:tcW w:type="dxa" w:w="4392"/>
          </w:tcPr>
          <w:p>
            <w:pPr>
              <w:spacing w:after="40"/>
            </w:pPr>
            <w:r>
              <w:t>D — Unsafe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t>0.292</w:t>
            </w:r>
          </w:p>
        </w:tc>
      </w:tr>
    </w:tbl>
    <w:p/>
    <w:p>
      <w:pPr>
        <w:spacing w:before="0" w:after="120"/>
      </w:pPr>
      <w:r>
        <w:t xml:space="preserve">Grade D segments are 3.6% of the network but account for 4.7% of all fatalities. Grade D fatality rate is </w:t>
      </w:r>
      <w:r>
        <w:rPr>
          <w:b/>
        </w:rPr>
        <w:t>1.7× higher than Grade B</w:t>
      </w:r>
      <w:r>
        <w:t>.</w:t>
      </w:r>
    </w:p>
    <w:p>
      <w:pPr>
        <w:spacing w:before="0" w:after="120"/>
      </w:pPr>
      <w:r/>
      <w:r>
        <w:rPr>
          <w:b/>
        </w:rPr>
        <w:t>OSM infrastructure cross-validation:</w:t>
      </w:r>
      <w:r>
        <w:t xml:space="preserve"> The top 100 priority segments in both regions were queried against OpenStreetMap. Across 95 enriched segments in Thailand and Maharashtra combined: </w:t>
      </w:r>
      <w:r>
        <w:rPr>
          <w:b/>
        </w:rPr>
        <w:t>0% have a sidewalk, 0% have a pedestrian crossing, 0% have traffic calming, and 2% have street lighting.</w:t>
      </w:r>
      <w:r>
        <w:t xml:space="preserve"> Maharashtra's average infrastructure score is 0.000 out of 1.0 — the absolute minimum. The world's most comprehensive crowd-sourced road database independently confirms that the AI model is identifying the right roads.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80"/>
      </w:pPr>
      <w:r>
        <w:rPr>
          <w:b/>
          <w:sz w:val="26"/>
        </w:rPr>
        <w:t>Policy Recommendations and Scalability</w:t>
      </w:r>
    </w:p>
    <w:p>
      <w:pPr>
        <w:spacing w:before="0" w:after="120"/>
      </w:pPr>
      <w:r/>
      <w:r>
        <w:rPr>
          <w:b/>
        </w:rPr>
        <w:t>Immediate (0–12 months):</w:t>
      </w:r>
      <w:r/>
    </w:p>
    <w:p>
      <w:pPr>
        <w:spacing w:before="0" w:after="120"/>
      </w:pPr>
      <w:r>
        <w:t>1. Thailand: Emergency limit reduction to 60 km/h on top-10 segments; deploy average-speed enforcement</w:t>
      </w:r>
    </w:p>
    <w:p>
      <w:pPr>
        <w:spacing w:before="0" w:after="120"/>
      </w:pPr>
      <w:r>
        <w:t>2. Thailand: National urban speed reform — set 50 km/h default for primary roads (one regulation, $868.5M/yr benefit)</w:t>
      </w:r>
    </w:p>
    <w:p>
      <w:pPr>
        <w:spacing w:before="0" w:after="120"/>
      </w:pPr>
      <w:r>
        <w:t>3. Maharashtra: Combined speed + helmet enforcement at all 296 Grade C locations simultaneously</w:t>
      </w:r>
    </w:p>
    <w:p>
      <w:pPr>
        <w:spacing w:before="0" w:after="120"/>
      </w:pPr>
      <w:r/>
      <w:r>
        <w:rPr>
          <w:b/>
        </w:rPr>
        <w:t>Medium-term (1–3 years):</w:t>
      </w:r>
      <w:r/>
    </w:p>
    <w:p>
      <w:pPr>
        <w:pStyle w:val="ListBullet"/>
        <w:spacing w:after="60"/>
      </w:pPr>
      <w:r>
        <w:t>Deploy Speed Safety Score as an annual monitoring tool as TomTom data updates</w:t>
      </w:r>
    </w:p>
    <w:p>
      <w:pPr>
        <w:pStyle w:val="ListBullet"/>
        <w:spacing w:after="60"/>
      </w:pPr>
      <w:r>
        <w:t>Extend to all ADB member countries — the pipeline requires only Overture Maps, TomTom, and Mapillary, all globally available</w:t>
      </w:r>
    </w:p>
    <w:p>
      <w:pPr>
        <w:pStyle w:val="ListBullet"/>
        <w:spacing w:after="60"/>
      </w:pPr>
      <w:r>
        <w:t>Address Thailand's 5,586 Grade C segments before traffic growth escalates them to Grade D</w:t>
      </w:r>
    </w:p>
    <w:p>
      <w:pPr>
        <w:spacing w:before="0" w:after="120"/>
      </w:pPr>
      <w:r/>
      <w:r>
        <w:rPr>
          <w:b/>
        </w:rPr>
        <w:t>Scalability to data-scarce environments:</w:t>
      </w:r>
      <w:r>
        <w:t xml:space="preserve"> Stage 1 alone produces actionable scores with no GPU requirement. Where GPS probe data is unavailable, 85th-percentile operating speeds can be estimated from road geometry and land use using regression models trained on Thailand and Maharashtra. The methodology is designed for deployment, not just demonstration — full source code, scored outputs, and interactive maps are at the project repository.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0" w:after="60"/>
      </w:pPr>
      <w:r>
        <w:rPr>
          <w:i/>
          <w:color w:val="666666"/>
          <w:sz w:val="18"/>
        </w:rPr>
        <w:t>Full source code, priority lists, interactive maps, and methodology: github.com/Htet-Kaung-San/adb-safer-roads</w:t>
      </w:r>
    </w:p>
    <w:p>
      <w:pPr>
        <w:spacing w:before="0" w:after="60"/>
      </w:pPr>
      <w:r>
        <w:rPr>
          <w:i/>
          <w:color w:val="666666"/>
          <w:sz w:val="18"/>
        </w:rPr>
        <w:t>Compute: 8× NVIDIA RTX A5000 (192 GB VRAM), Pusan National University GenAI Lab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