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00" w:type="pct"/>
        <w:jc w:val="center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5511"/>
        <w:gridCol w:w="1319"/>
        <w:gridCol w:w="4808"/>
        <w:gridCol w:w="2657"/>
      </w:tblGrid>
      <w:tr w14:paraId="26B7E961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95" w:type="dxa"/>
            <w:gridSpan w:val="2"/>
            <w:shd w:val="clear" w:color="auto" w:fill="1F4E79"/>
            <w:vAlign w:val="center"/>
          </w:tcPr>
          <w:p w14:paraId="7C91C63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表四｜合同与交付风险清单</w:t>
            </w:r>
          </w:p>
        </w:tc>
        <w:tc>
          <w:tcPr>
            <w:tcW w:w="7795" w:type="dxa"/>
            <w:gridSpan w:val="3"/>
            <w:shd w:val="clear" w:color="auto" w:fill="1F4E79"/>
            <w:vAlign w:val="center"/>
          </w:tcPr>
          <w:p w14:paraId="2863E6BF">
            <w:pPr>
              <w:spacing w:after="0" w:line="252" w:lineRule="auto"/>
              <w:jc w:val="righ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Form 04 / Contract &amp; Delivery Risk Checklist</w:t>
            </w:r>
          </w:p>
        </w:tc>
      </w:tr>
      <w:tr w14:paraId="2AF39254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0" w:type="dxa"/>
            <w:gridSpan w:val="5"/>
            <w:shd w:val="clear" w:color="auto" w:fill="EAF4FB"/>
          </w:tcPr>
          <w:p w14:paraId="194A37D8">
            <w:pPr>
              <w:spacing w:after="0"/>
              <w:ind w:left="85" w:right="85"/>
            </w:pPr>
            <w:r>
              <w:rPr>
                <w:rFonts w:ascii="微软雅黑" w:hAnsi="微软雅黑" w:eastAsia="微软雅黑"/>
                <w:sz w:val="18"/>
              </w:rPr>
              <w:t>使用目的：在企业决定正式投标前，提前识别合同、价格、交付、验收、账期、合规和售后风险。建议在“报价与履约成本拆解”模块后填写。</w:t>
            </w:r>
          </w:p>
        </w:tc>
      </w:tr>
      <w:tr w14:paraId="3F30EAF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746" w:type="dxa"/>
          <w:jc w:val="center"/>
        </w:trPr>
        <w:tc>
          <w:tcPr>
            <w:tcW w:w="1701" w:type="dxa"/>
            <w:shd w:val="clear" w:color="auto" w:fill="6D9EBD"/>
            <w:vAlign w:val="center"/>
          </w:tcPr>
          <w:p w14:paraId="0208F39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填写项</w:t>
            </w:r>
          </w:p>
        </w:tc>
        <w:tc>
          <w:tcPr>
            <w:tcW w:w="5103" w:type="dxa"/>
            <w:shd w:val="clear" w:color="auto" w:fill="6D9EBD"/>
            <w:vAlign w:val="center"/>
          </w:tcPr>
          <w:p w14:paraId="72E41D2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w="1701" w:type="dxa"/>
            <w:shd w:val="clear" w:color="auto" w:fill="6D9EBD"/>
            <w:vAlign w:val="center"/>
          </w:tcPr>
          <w:p w14:paraId="167EDFB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填写项</w:t>
            </w:r>
          </w:p>
        </w:tc>
        <w:tc>
          <w:tcPr>
            <w:tcW w:w="5103" w:type="dxa"/>
            <w:shd w:val="clear" w:color="auto" w:fill="6D9EBD"/>
            <w:vAlign w:val="center"/>
          </w:tcPr>
          <w:p w14:paraId="040A56A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 w14:paraId="3CA65B4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746" w:type="dxa"/>
          <w:trHeight w:val="425" w:hRule="atLeast"/>
          <w:jc w:val="center"/>
        </w:trPr>
        <w:tc>
          <w:tcPr>
            <w:tcW w:w="1701" w:type="dxa"/>
            <w:vAlign w:val="center"/>
          </w:tcPr>
          <w:p w14:paraId="0ADC297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企业名称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53B3023F">
            <w:pPr>
              <w:spacing w:after="0" w:line="252" w:lineRule="auto"/>
            </w:pPr>
            <w:r>
              <w:t>________________________________________________</w:t>
            </w:r>
          </w:p>
        </w:tc>
        <w:tc>
          <w:tcPr>
            <w:tcW w:w="1701" w:type="dxa"/>
            <w:vAlign w:val="center"/>
          </w:tcPr>
          <w:p w14:paraId="5918A7E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项目/标讯编号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4B9F1006">
            <w:pPr>
              <w:spacing w:after="0" w:line="252" w:lineRule="auto"/>
            </w:pPr>
            <w:r>
              <w:t>________________________________________________</w:t>
            </w:r>
          </w:p>
        </w:tc>
      </w:tr>
      <w:tr w14:paraId="17BA64C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746" w:type="dxa"/>
          <w:trHeight w:val="425" w:hRule="atLeast"/>
          <w:jc w:val="center"/>
        </w:trPr>
        <w:tc>
          <w:tcPr>
            <w:tcW w:w="1701" w:type="dxa"/>
            <w:shd w:val="clear" w:color="auto" w:fill="FAFAFA"/>
            <w:vAlign w:val="center"/>
          </w:tcPr>
          <w:p w14:paraId="29D16B1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采购机构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26554D39">
            <w:pPr>
              <w:spacing w:after="0" w:line="252" w:lineRule="auto"/>
            </w:pPr>
            <w:r>
              <w:t>________________________________________________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2FF80F9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目标国家/交付地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04F6D8B8">
            <w:pPr>
              <w:spacing w:after="0" w:line="252" w:lineRule="auto"/>
            </w:pPr>
            <w:r>
              <w:t>________________________________________________</w:t>
            </w:r>
          </w:p>
        </w:tc>
      </w:tr>
      <w:tr w14:paraId="4587A5E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746" w:type="dxa"/>
          <w:trHeight w:val="425" w:hRule="atLeast"/>
          <w:jc w:val="center"/>
        </w:trPr>
        <w:tc>
          <w:tcPr>
            <w:tcW w:w="1701" w:type="dxa"/>
            <w:vAlign w:val="center"/>
          </w:tcPr>
          <w:p w14:paraId="7D0BF12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预计报价金额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4169790A">
            <w:pPr>
              <w:spacing w:after="0" w:line="252" w:lineRule="auto"/>
            </w:pPr>
            <w:r>
              <w:t>________________________________________________</w:t>
            </w:r>
          </w:p>
        </w:tc>
        <w:tc>
          <w:tcPr>
            <w:tcW w:w="1701" w:type="dxa"/>
            <w:vAlign w:val="center"/>
          </w:tcPr>
          <w:p w14:paraId="37B6A7B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填写日期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275F5B7C">
            <w:pPr>
              <w:spacing w:after="0" w:line="252" w:lineRule="auto"/>
            </w:pPr>
            <w:r>
              <w:t>________________________________________________</w:t>
            </w:r>
          </w:p>
        </w:tc>
      </w:tr>
    </w:tbl>
    <w:p w14:paraId="641E70B5">
      <w:pPr>
        <w:pStyle w:val="2"/>
        <w:spacing w:before="120" w:after="120"/>
      </w:pPr>
      <w:r>
        <w:rPr>
          <w:rFonts w:ascii="微软雅黑" w:hAnsi="微软雅黑" w:eastAsia="微软雅黑"/>
          <w:b/>
          <w:color w:val="1F1F1F"/>
          <w:sz w:val="24"/>
        </w:rPr>
        <w:t>4.1 风险清单主表</w:t>
      </w:r>
    </w:p>
    <w:tbl>
      <w:tblPr>
        <w:tblStyle w:val="3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2115"/>
        <w:gridCol w:w="2741"/>
        <w:gridCol w:w="2520"/>
        <w:gridCol w:w="3654"/>
        <w:gridCol w:w="1190"/>
        <w:gridCol w:w="2017"/>
      </w:tblGrid>
      <w:tr w14:paraId="1A18104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0" w:type="dxa"/>
            <w:shd w:val="clear" w:color="auto" w:fill="1F4E79"/>
            <w:vAlign w:val="center"/>
          </w:tcPr>
          <w:p w14:paraId="242ED24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A06B3B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风险点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1F72132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触发场景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76FB1EB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可能后果</w:t>
            </w:r>
          </w:p>
        </w:tc>
        <w:tc>
          <w:tcPr>
            <w:tcW w:w="4082" w:type="dxa"/>
            <w:shd w:val="clear" w:color="auto" w:fill="1F4E79"/>
            <w:vAlign w:val="center"/>
          </w:tcPr>
          <w:p w14:paraId="4344118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预防/控制动作</w:t>
            </w:r>
          </w:p>
        </w:tc>
        <w:tc>
          <w:tcPr>
            <w:tcW w:w="1304" w:type="dxa"/>
            <w:shd w:val="clear" w:color="auto" w:fill="1F4E79"/>
            <w:vAlign w:val="center"/>
          </w:tcPr>
          <w:p w14:paraId="3719FD8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责任人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4CEDB31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 w14:paraId="52662E2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vAlign w:val="center"/>
          </w:tcPr>
          <w:p w14:paraId="727F317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投标前</w:t>
            </w:r>
          </w:p>
        </w:tc>
        <w:tc>
          <w:tcPr>
            <w:tcW w:w="2381" w:type="dxa"/>
            <w:vAlign w:val="center"/>
          </w:tcPr>
          <w:p w14:paraId="6260AA3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采购文件未读完整</w:t>
            </w:r>
          </w:p>
        </w:tc>
        <w:tc>
          <w:tcPr>
            <w:tcW w:w="3061" w:type="dxa"/>
            <w:vAlign w:val="center"/>
          </w:tcPr>
          <w:p w14:paraId="36C0997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只看首页/摘要，未读合同条款、附件、提交规则。</w:t>
            </w:r>
          </w:p>
        </w:tc>
        <w:tc>
          <w:tcPr>
            <w:tcW w:w="2835" w:type="dxa"/>
            <w:vAlign w:val="center"/>
          </w:tcPr>
          <w:p w14:paraId="2857CA8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漏文件、错格式、错提交平台，直接废标。</w:t>
            </w:r>
          </w:p>
        </w:tc>
        <w:tc>
          <w:tcPr>
            <w:tcW w:w="4082" w:type="dxa"/>
            <w:vAlign w:val="center"/>
          </w:tcPr>
          <w:p w14:paraId="5D0C1EE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建立文件清单；逐项标注“强制/可选/需澄清”；二人复核。</w:t>
            </w:r>
          </w:p>
        </w:tc>
        <w:tc>
          <w:tcPr>
            <w:tcW w:w="1304" w:type="dxa"/>
            <w:vAlign w:val="center"/>
          </w:tcPr>
          <w:p w14:paraId="7735F1B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vAlign w:val="center"/>
          </w:tcPr>
          <w:p w14:paraId="3EE33A6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03E67DB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shd w:val="clear" w:color="auto" w:fill="FAFAFA"/>
            <w:vAlign w:val="center"/>
          </w:tcPr>
          <w:p w14:paraId="7E3C44A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投标前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6EA816E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采购形式判断错误</w:t>
            </w:r>
          </w:p>
        </w:tc>
        <w:tc>
          <w:tcPr>
            <w:tcW w:w="3061" w:type="dxa"/>
            <w:shd w:val="clear" w:color="auto" w:fill="FAFAFA"/>
            <w:vAlign w:val="center"/>
          </w:tcPr>
          <w:p w14:paraId="2BC32ED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把RFP当RFQ，只报价格不写方案；把EOI当正式投标。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5F2E7D1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响应方向错误，技术分不足或无效提交。</w:t>
            </w:r>
          </w:p>
        </w:tc>
        <w:tc>
          <w:tcPr>
            <w:tcW w:w="4082" w:type="dxa"/>
            <w:shd w:val="clear" w:color="auto" w:fill="FAFAFA"/>
            <w:vAlign w:val="center"/>
          </w:tcPr>
          <w:p w14:paraId="0BAD6C7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使用《采购形式判断卡》先判断，再决定投标投入。</w:t>
            </w:r>
          </w:p>
        </w:tc>
        <w:tc>
          <w:tcPr>
            <w:tcW w:w="1304" w:type="dxa"/>
            <w:shd w:val="clear" w:color="auto" w:fill="FAFAFA"/>
            <w:vAlign w:val="center"/>
          </w:tcPr>
          <w:p w14:paraId="565EDAF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59FAD71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1D47220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vAlign w:val="center"/>
          </w:tcPr>
          <w:p w14:paraId="1F72A8A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投标前</w:t>
            </w:r>
          </w:p>
        </w:tc>
        <w:tc>
          <w:tcPr>
            <w:tcW w:w="2381" w:type="dxa"/>
            <w:vAlign w:val="center"/>
          </w:tcPr>
          <w:p w14:paraId="7D2115B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强制资格不满足</w:t>
            </w:r>
          </w:p>
        </w:tc>
        <w:tc>
          <w:tcPr>
            <w:tcW w:w="3061" w:type="dxa"/>
            <w:vAlign w:val="center"/>
          </w:tcPr>
          <w:p w14:paraId="044FCE8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要求认证、制造商授权、类似案例、财务能力、注册等级等。</w:t>
            </w:r>
          </w:p>
        </w:tc>
        <w:tc>
          <w:tcPr>
            <w:tcW w:w="2835" w:type="dxa"/>
            <w:vAlign w:val="center"/>
          </w:tcPr>
          <w:p w14:paraId="040F90A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即使价格最低也无法进入评审。</w:t>
            </w:r>
          </w:p>
        </w:tc>
        <w:tc>
          <w:tcPr>
            <w:tcW w:w="4082" w:type="dxa"/>
            <w:vAlign w:val="center"/>
          </w:tcPr>
          <w:p w14:paraId="753E505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做Go/No-Go判断；缺硬性资格则不建议盲投。</w:t>
            </w:r>
          </w:p>
        </w:tc>
        <w:tc>
          <w:tcPr>
            <w:tcW w:w="1304" w:type="dxa"/>
            <w:vAlign w:val="center"/>
          </w:tcPr>
          <w:p w14:paraId="61B482C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vAlign w:val="center"/>
          </w:tcPr>
          <w:p w14:paraId="354E2AC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47103CE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shd w:val="clear" w:color="auto" w:fill="FAFAFA"/>
            <w:vAlign w:val="center"/>
          </w:tcPr>
          <w:p w14:paraId="347D171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投标前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4FEAA2F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澄清问题未及时提交</w:t>
            </w:r>
          </w:p>
        </w:tc>
        <w:tc>
          <w:tcPr>
            <w:tcW w:w="3061" w:type="dxa"/>
            <w:shd w:val="clear" w:color="auto" w:fill="FAFAFA"/>
            <w:vAlign w:val="center"/>
          </w:tcPr>
          <w:p w14:paraId="0703C01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技术规格、交付地、样品、付款条款存在疑问但未在截止前提问。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33458E7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报价错误、履约风险不可控。</w:t>
            </w:r>
          </w:p>
        </w:tc>
        <w:tc>
          <w:tcPr>
            <w:tcW w:w="4082" w:type="dxa"/>
            <w:shd w:val="clear" w:color="auto" w:fill="FAFAFA"/>
            <w:vAlign w:val="center"/>
          </w:tcPr>
          <w:p w14:paraId="2C1F1C9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设置澄清截止提醒；由桌长/顾问汇总问题。</w:t>
            </w:r>
          </w:p>
        </w:tc>
        <w:tc>
          <w:tcPr>
            <w:tcW w:w="1304" w:type="dxa"/>
            <w:shd w:val="clear" w:color="auto" w:fill="FAFAFA"/>
            <w:vAlign w:val="center"/>
          </w:tcPr>
          <w:p w14:paraId="1D4DAAE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51BB186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09CBA9E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vAlign w:val="center"/>
          </w:tcPr>
          <w:p w14:paraId="22BE1FA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报价</w:t>
            </w:r>
          </w:p>
        </w:tc>
        <w:tc>
          <w:tcPr>
            <w:tcW w:w="2381" w:type="dxa"/>
            <w:vAlign w:val="center"/>
          </w:tcPr>
          <w:p w14:paraId="6F959FD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漏算物流/保险/清关/税费</w:t>
            </w:r>
          </w:p>
        </w:tc>
        <w:tc>
          <w:tcPr>
            <w:tcW w:w="3061" w:type="dxa"/>
            <w:vAlign w:val="center"/>
          </w:tcPr>
          <w:p w14:paraId="4F6DC3D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只按出厂价报价，未考虑贸易条款和目的国费用。</w:t>
            </w:r>
          </w:p>
        </w:tc>
        <w:tc>
          <w:tcPr>
            <w:tcW w:w="2835" w:type="dxa"/>
            <w:vAlign w:val="center"/>
          </w:tcPr>
          <w:p w14:paraId="7F2380E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中标后亏损或无法履约。</w:t>
            </w:r>
          </w:p>
        </w:tc>
        <w:tc>
          <w:tcPr>
            <w:tcW w:w="4082" w:type="dxa"/>
            <w:vAlign w:val="center"/>
          </w:tcPr>
          <w:p w14:paraId="5DD0616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按Incoterms逐项核算；获取货代报价；设置风险缓冲。</w:t>
            </w:r>
          </w:p>
        </w:tc>
        <w:tc>
          <w:tcPr>
            <w:tcW w:w="1304" w:type="dxa"/>
            <w:vAlign w:val="center"/>
          </w:tcPr>
          <w:p w14:paraId="4C893C1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vAlign w:val="center"/>
          </w:tcPr>
          <w:p w14:paraId="4A41EC7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48CB9CD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shd w:val="clear" w:color="auto" w:fill="FAFAFA"/>
            <w:vAlign w:val="center"/>
          </w:tcPr>
          <w:p w14:paraId="4991D23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报价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757CE94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账期与现金流压力</w:t>
            </w:r>
          </w:p>
        </w:tc>
        <w:tc>
          <w:tcPr>
            <w:tcW w:w="3061" w:type="dxa"/>
            <w:shd w:val="clear" w:color="auto" w:fill="FAFAFA"/>
            <w:vAlign w:val="center"/>
          </w:tcPr>
          <w:p w14:paraId="7F74296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验收后付款、付款周期长、需垫资生产/运输。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5D7EBDF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资金链压力，影响交付。</w:t>
            </w:r>
          </w:p>
        </w:tc>
        <w:tc>
          <w:tcPr>
            <w:tcW w:w="4082" w:type="dxa"/>
            <w:shd w:val="clear" w:color="auto" w:fill="FAFAFA"/>
            <w:vAlign w:val="center"/>
          </w:tcPr>
          <w:p w14:paraId="7C6ADF3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测算账期资金成本；确认银行授信/保理/融资方案。</w:t>
            </w:r>
          </w:p>
        </w:tc>
        <w:tc>
          <w:tcPr>
            <w:tcW w:w="1304" w:type="dxa"/>
            <w:shd w:val="clear" w:color="auto" w:fill="FAFAFA"/>
            <w:vAlign w:val="center"/>
          </w:tcPr>
          <w:p w14:paraId="63EB7FA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7A52D16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3A789F6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vAlign w:val="center"/>
          </w:tcPr>
          <w:p w14:paraId="2F74034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报价</w:t>
            </w:r>
          </w:p>
        </w:tc>
        <w:tc>
          <w:tcPr>
            <w:tcW w:w="2381" w:type="dxa"/>
            <w:vAlign w:val="center"/>
          </w:tcPr>
          <w:p w14:paraId="0D06544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汇率波动</w:t>
            </w:r>
          </w:p>
        </w:tc>
        <w:tc>
          <w:tcPr>
            <w:tcW w:w="3061" w:type="dxa"/>
            <w:vAlign w:val="center"/>
          </w:tcPr>
          <w:p w14:paraId="0AA5287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报价币种与采购/生产成本币种不一致。</w:t>
            </w:r>
          </w:p>
        </w:tc>
        <w:tc>
          <w:tcPr>
            <w:tcW w:w="2835" w:type="dxa"/>
            <w:vAlign w:val="center"/>
          </w:tcPr>
          <w:p w14:paraId="5BD2BD2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利润被汇率吞噬。</w:t>
            </w:r>
          </w:p>
        </w:tc>
        <w:tc>
          <w:tcPr>
            <w:tcW w:w="4082" w:type="dxa"/>
            <w:vAlign w:val="center"/>
          </w:tcPr>
          <w:p w14:paraId="527E5AC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设置报价有效期；测算汇率敏感性；必要时使用锁汇。</w:t>
            </w:r>
          </w:p>
        </w:tc>
        <w:tc>
          <w:tcPr>
            <w:tcW w:w="1304" w:type="dxa"/>
            <w:vAlign w:val="center"/>
          </w:tcPr>
          <w:p w14:paraId="37E7E9A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vAlign w:val="center"/>
          </w:tcPr>
          <w:p w14:paraId="77BC1A1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630B49C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shd w:val="clear" w:color="auto" w:fill="FAFAFA"/>
            <w:vAlign w:val="center"/>
          </w:tcPr>
          <w:p w14:paraId="5A19A45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报价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70735C1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长期协议价格锁定风险</w:t>
            </w:r>
          </w:p>
        </w:tc>
        <w:tc>
          <w:tcPr>
            <w:tcW w:w="3061" w:type="dxa"/>
            <w:shd w:val="clear" w:color="auto" w:fill="FAFAFA"/>
            <w:vAlign w:val="center"/>
          </w:tcPr>
          <w:p w14:paraId="1CA869B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LTA/FA要求长期价格或固定折扣。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0AA8FBB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原材料上涨导致长期亏损。</w:t>
            </w:r>
          </w:p>
        </w:tc>
        <w:tc>
          <w:tcPr>
            <w:tcW w:w="4082" w:type="dxa"/>
            <w:shd w:val="clear" w:color="auto" w:fill="FAFAFA"/>
            <w:vAlign w:val="center"/>
          </w:tcPr>
          <w:p w14:paraId="126800F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设置价格调整条款/阶梯报价/有效期；评估库存和成本趋势。</w:t>
            </w:r>
          </w:p>
        </w:tc>
        <w:tc>
          <w:tcPr>
            <w:tcW w:w="1304" w:type="dxa"/>
            <w:shd w:val="clear" w:color="auto" w:fill="FAFAFA"/>
            <w:vAlign w:val="center"/>
          </w:tcPr>
          <w:p w14:paraId="5AB3215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7E72053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225F086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vAlign w:val="center"/>
          </w:tcPr>
          <w:p w14:paraId="4A44BCC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合同</w:t>
            </w:r>
          </w:p>
        </w:tc>
        <w:tc>
          <w:tcPr>
            <w:tcW w:w="2381" w:type="dxa"/>
            <w:vAlign w:val="center"/>
          </w:tcPr>
          <w:p w14:paraId="5D93C1E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合同条款未法务审阅</w:t>
            </w:r>
          </w:p>
        </w:tc>
        <w:tc>
          <w:tcPr>
            <w:tcW w:w="3061" w:type="dxa"/>
            <w:vAlign w:val="center"/>
          </w:tcPr>
          <w:p w14:paraId="5E8317D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延迟赔偿、终止、不可抗力、知识产权、保密、审计权等条款复杂。</w:t>
            </w:r>
          </w:p>
        </w:tc>
        <w:tc>
          <w:tcPr>
            <w:tcW w:w="2835" w:type="dxa"/>
            <w:vAlign w:val="center"/>
          </w:tcPr>
          <w:p w14:paraId="4EF9AE8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承担超出预期的违约责任。</w:t>
            </w:r>
          </w:p>
        </w:tc>
        <w:tc>
          <w:tcPr>
            <w:tcW w:w="4082" w:type="dxa"/>
            <w:vAlign w:val="center"/>
          </w:tcPr>
          <w:p w14:paraId="762A60A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签署前由法务/顾问审查；列出不可接受条款。</w:t>
            </w:r>
          </w:p>
        </w:tc>
        <w:tc>
          <w:tcPr>
            <w:tcW w:w="1304" w:type="dxa"/>
            <w:vAlign w:val="center"/>
          </w:tcPr>
          <w:p w14:paraId="1595D35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vAlign w:val="center"/>
          </w:tcPr>
          <w:p w14:paraId="52663EE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60DCD87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shd w:val="clear" w:color="auto" w:fill="FAFAFA"/>
            <w:vAlign w:val="center"/>
          </w:tcPr>
          <w:p w14:paraId="4F83BD1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合同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569D86E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供应商行为准则无法满足</w:t>
            </w:r>
          </w:p>
        </w:tc>
        <w:tc>
          <w:tcPr>
            <w:tcW w:w="3061" w:type="dxa"/>
            <w:shd w:val="clear" w:color="auto" w:fill="FAFAFA"/>
            <w:vAlign w:val="center"/>
          </w:tcPr>
          <w:p w14:paraId="48E0908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反腐败、反舞弊、童工/强迫劳动、制裁、利益冲突要求。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6C04079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投标无效、合同终止、信誉受损。</w:t>
            </w:r>
          </w:p>
        </w:tc>
        <w:tc>
          <w:tcPr>
            <w:tcW w:w="4082" w:type="dxa"/>
            <w:shd w:val="clear" w:color="auto" w:fill="FAFAFA"/>
            <w:vAlign w:val="center"/>
          </w:tcPr>
          <w:p w14:paraId="6CFA822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完成内部合规自查；要求分包商签署合规承诺。</w:t>
            </w:r>
          </w:p>
        </w:tc>
        <w:tc>
          <w:tcPr>
            <w:tcW w:w="1304" w:type="dxa"/>
            <w:shd w:val="clear" w:color="auto" w:fill="FAFAFA"/>
            <w:vAlign w:val="center"/>
          </w:tcPr>
          <w:p w14:paraId="503B44A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61A05D3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6D36BE1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vAlign w:val="center"/>
          </w:tcPr>
          <w:p w14:paraId="742721A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合同</w:t>
            </w:r>
          </w:p>
        </w:tc>
        <w:tc>
          <w:tcPr>
            <w:tcW w:w="2381" w:type="dxa"/>
            <w:vAlign w:val="center"/>
          </w:tcPr>
          <w:p w14:paraId="7605A7D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分包/联合体责任不清</w:t>
            </w:r>
          </w:p>
        </w:tc>
        <w:tc>
          <w:tcPr>
            <w:tcW w:w="3061" w:type="dxa"/>
            <w:vAlign w:val="center"/>
          </w:tcPr>
          <w:p w14:paraId="1A23AA1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联合体或本地服务商参与，但角色、责任、利润、赔偿未明确。</w:t>
            </w:r>
          </w:p>
        </w:tc>
        <w:tc>
          <w:tcPr>
            <w:tcW w:w="2835" w:type="dxa"/>
            <w:vAlign w:val="center"/>
          </w:tcPr>
          <w:p w14:paraId="1514379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履约中互相推诿，影响验收和付款。</w:t>
            </w:r>
          </w:p>
        </w:tc>
        <w:tc>
          <w:tcPr>
            <w:tcW w:w="4082" w:type="dxa"/>
            <w:vAlign w:val="center"/>
          </w:tcPr>
          <w:p w14:paraId="688CB14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签署联合体MOU/分包协议；明确主责、交付、付款、违约责任。</w:t>
            </w:r>
          </w:p>
        </w:tc>
        <w:tc>
          <w:tcPr>
            <w:tcW w:w="1304" w:type="dxa"/>
            <w:vAlign w:val="center"/>
          </w:tcPr>
          <w:p w14:paraId="31C912C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vAlign w:val="center"/>
          </w:tcPr>
          <w:p w14:paraId="367A1DA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32C5DFE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shd w:val="clear" w:color="auto" w:fill="FAFAFA"/>
            <w:vAlign w:val="center"/>
          </w:tcPr>
          <w:p w14:paraId="3F8F205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生产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5220A60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型号/规格替代未经批准</w:t>
            </w:r>
          </w:p>
        </w:tc>
        <w:tc>
          <w:tcPr>
            <w:tcW w:w="3061" w:type="dxa"/>
            <w:shd w:val="clear" w:color="auto" w:fill="FAFAFA"/>
            <w:vAlign w:val="center"/>
          </w:tcPr>
          <w:p w14:paraId="57DA85F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原材料变化、停产、升级换代导致想替换产品。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6CEE97B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被认定不合规，拒收或索赔。</w:t>
            </w:r>
          </w:p>
        </w:tc>
        <w:tc>
          <w:tcPr>
            <w:tcW w:w="4082" w:type="dxa"/>
            <w:shd w:val="clear" w:color="auto" w:fill="FAFAFA"/>
            <w:vAlign w:val="center"/>
          </w:tcPr>
          <w:p w14:paraId="585C6B6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任何替代需书面批准；保留技术等同性证明。</w:t>
            </w:r>
          </w:p>
        </w:tc>
        <w:tc>
          <w:tcPr>
            <w:tcW w:w="1304" w:type="dxa"/>
            <w:shd w:val="clear" w:color="auto" w:fill="FAFAFA"/>
            <w:vAlign w:val="center"/>
          </w:tcPr>
          <w:p w14:paraId="2FBBC92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219BDB9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4FE026C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vAlign w:val="center"/>
          </w:tcPr>
          <w:p w14:paraId="417FFFC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生产</w:t>
            </w:r>
          </w:p>
        </w:tc>
        <w:tc>
          <w:tcPr>
            <w:tcW w:w="2381" w:type="dxa"/>
            <w:vAlign w:val="center"/>
          </w:tcPr>
          <w:p w14:paraId="405B301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质量检验节点缺失</w:t>
            </w:r>
          </w:p>
        </w:tc>
        <w:tc>
          <w:tcPr>
            <w:tcW w:w="3061" w:type="dxa"/>
            <w:vAlign w:val="center"/>
          </w:tcPr>
          <w:p w14:paraId="70E13BA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赶交期未做出厂检验或第三方检验。</w:t>
            </w:r>
          </w:p>
        </w:tc>
        <w:tc>
          <w:tcPr>
            <w:tcW w:w="2835" w:type="dxa"/>
            <w:vAlign w:val="center"/>
          </w:tcPr>
          <w:p w14:paraId="6EED96F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到货后质量问题，退货/返修/赔偿。</w:t>
            </w:r>
          </w:p>
        </w:tc>
        <w:tc>
          <w:tcPr>
            <w:tcW w:w="4082" w:type="dxa"/>
            <w:vAlign w:val="center"/>
          </w:tcPr>
          <w:p w14:paraId="762B7ED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建立出货前检验、照片/视频、批次追溯、第三方验货。</w:t>
            </w:r>
          </w:p>
        </w:tc>
        <w:tc>
          <w:tcPr>
            <w:tcW w:w="1304" w:type="dxa"/>
            <w:vAlign w:val="center"/>
          </w:tcPr>
          <w:p w14:paraId="13EBAC9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vAlign w:val="center"/>
          </w:tcPr>
          <w:p w14:paraId="0EDFC63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1D70DA0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shd w:val="clear" w:color="auto" w:fill="FAFAFA"/>
            <w:vAlign w:val="center"/>
          </w:tcPr>
          <w:p w14:paraId="4366BAF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生产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2938560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包装不符合运输/目的国要求</w:t>
            </w:r>
          </w:p>
        </w:tc>
        <w:tc>
          <w:tcPr>
            <w:tcW w:w="3061" w:type="dxa"/>
            <w:shd w:val="clear" w:color="auto" w:fill="FAFAFA"/>
            <w:vAlign w:val="center"/>
          </w:tcPr>
          <w:p w14:paraId="330D898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长途海运、空运、温控、危险品、易碎品、堆码要求不同。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26D3EA6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破损、延误、保险拒赔。</w:t>
            </w:r>
          </w:p>
        </w:tc>
        <w:tc>
          <w:tcPr>
            <w:tcW w:w="4082" w:type="dxa"/>
            <w:shd w:val="clear" w:color="auto" w:fill="FAFAFA"/>
            <w:vAlign w:val="center"/>
          </w:tcPr>
          <w:p w14:paraId="375B629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确认包装标准、唛头、标签、温控/防潮、防震方案。</w:t>
            </w:r>
          </w:p>
        </w:tc>
        <w:tc>
          <w:tcPr>
            <w:tcW w:w="1304" w:type="dxa"/>
            <w:shd w:val="clear" w:color="auto" w:fill="FAFAFA"/>
            <w:vAlign w:val="center"/>
          </w:tcPr>
          <w:p w14:paraId="34E88F6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02EDD67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25F03A0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vAlign w:val="center"/>
          </w:tcPr>
          <w:p w14:paraId="600177B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物流</w:t>
            </w:r>
          </w:p>
        </w:tc>
        <w:tc>
          <w:tcPr>
            <w:tcW w:w="2381" w:type="dxa"/>
            <w:vAlign w:val="center"/>
          </w:tcPr>
          <w:p w14:paraId="401BEE2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出口管制/许可证风险</w:t>
            </w:r>
          </w:p>
        </w:tc>
        <w:tc>
          <w:tcPr>
            <w:tcW w:w="3061" w:type="dxa"/>
            <w:vAlign w:val="center"/>
          </w:tcPr>
          <w:p w14:paraId="3DF4B7F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无人机、通信设备、双用途、医疗、食品、化学品等可能需许可。</w:t>
            </w:r>
          </w:p>
        </w:tc>
        <w:tc>
          <w:tcPr>
            <w:tcW w:w="2835" w:type="dxa"/>
            <w:vAlign w:val="center"/>
          </w:tcPr>
          <w:p w14:paraId="5187000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无法出口、被扣关、违约。</w:t>
            </w:r>
          </w:p>
        </w:tc>
        <w:tc>
          <w:tcPr>
            <w:tcW w:w="4082" w:type="dxa"/>
            <w:vAlign w:val="center"/>
          </w:tcPr>
          <w:p w14:paraId="7DE8F97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提前做HS编码、出口管制、许可证和目的国准入核查。</w:t>
            </w:r>
          </w:p>
        </w:tc>
        <w:tc>
          <w:tcPr>
            <w:tcW w:w="1304" w:type="dxa"/>
            <w:vAlign w:val="center"/>
          </w:tcPr>
          <w:p w14:paraId="470A539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vAlign w:val="center"/>
          </w:tcPr>
          <w:p w14:paraId="5FF7067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4B515C3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shd w:val="clear" w:color="auto" w:fill="FAFAFA"/>
            <w:vAlign w:val="center"/>
          </w:tcPr>
          <w:p w14:paraId="17D8598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物流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27E136A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目的国进口准入/清关文件不足</w:t>
            </w:r>
          </w:p>
        </w:tc>
        <w:tc>
          <w:tcPr>
            <w:tcW w:w="3061" w:type="dxa"/>
            <w:shd w:val="clear" w:color="auto" w:fill="FAFAFA"/>
            <w:vAlign w:val="center"/>
          </w:tcPr>
          <w:p w14:paraId="0B41616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发票、装箱单、产地证、检测报告、卫生/医疗/通信许可不足。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79E6210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清关延误、仓储罚金、无法交付。</w:t>
            </w:r>
          </w:p>
        </w:tc>
        <w:tc>
          <w:tcPr>
            <w:tcW w:w="4082" w:type="dxa"/>
            <w:shd w:val="clear" w:color="auto" w:fill="FAFAFA"/>
            <w:vAlign w:val="center"/>
          </w:tcPr>
          <w:p w14:paraId="2EE9CCF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列清关资料清单；让货代/目的国伙伴预审。</w:t>
            </w:r>
          </w:p>
        </w:tc>
        <w:tc>
          <w:tcPr>
            <w:tcW w:w="1304" w:type="dxa"/>
            <w:shd w:val="clear" w:color="auto" w:fill="FAFAFA"/>
            <w:vAlign w:val="center"/>
          </w:tcPr>
          <w:p w14:paraId="1DE9579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063B97E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1A69446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vAlign w:val="center"/>
          </w:tcPr>
          <w:p w14:paraId="07C3EAE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物流</w:t>
            </w:r>
          </w:p>
        </w:tc>
        <w:tc>
          <w:tcPr>
            <w:tcW w:w="2381" w:type="dxa"/>
            <w:vAlign w:val="center"/>
          </w:tcPr>
          <w:p w14:paraId="41BCD43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交付地安全/道路/港口风险</w:t>
            </w:r>
          </w:p>
        </w:tc>
        <w:tc>
          <w:tcPr>
            <w:tcW w:w="3061" w:type="dxa"/>
            <w:vAlign w:val="center"/>
          </w:tcPr>
          <w:p w14:paraId="0DF9335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交付地为灾区、冲突区、偏远地区或港口拥堵。</w:t>
            </w:r>
          </w:p>
        </w:tc>
        <w:tc>
          <w:tcPr>
            <w:tcW w:w="2835" w:type="dxa"/>
            <w:vAlign w:val="center"/>
          </w:tcPr>
          <w:p w14:paraId="7685F68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延迟交付、货损、人员安全风险。</w:t>
            </w:r>
          </w:p>
        </w:tc>
        <w:tc>
          <w:tcPr>
            <w:tcW w:w="4082" w:type="dxa"/>
            <w:vAlign w:val="center"/>
          </w:tcPr>
          <w:p w14:paraId="3BAD9BC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评估路线与安全；设置保险、备用路线、缓冲时间。</w:t>
            </w:r>
          </w:p>
        </w:tc>
        <w:tc>
          <w:tcPr>
            <w:tcW w:w="1304" w:type="dxa"/>
            <w:vAlign w:val="center"/>
          </w:tcPr>
          <w:p w14:paraId="10E5569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vAlign w:val="center"/>
          </w:tcPr>
          <w:p w14:paraId="1B9E6CE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2E49F75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shd w:val="clear" w:color="auto" w:fill="FAFAFA"/>
            <w:vAlign w:val="center"/>
          </w:tcPr>
          <w:p w14:paraId="5A6BE28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交付验收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24CA3AD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验收标准不明确</w:t>
            </w:r>
          </w:p>
        </w:tc>
        <w:tc>
          <w:tcPr>
            <w:tcW w:w="3061" w:type="dxa"/>
            <w:shd w:val="clear" w:color="auto" w:fill="FAFAFA"/>
            <w:vAlign w:val="center"/>
          </w:tcPr>
          <w:p w14:paraId="3F74CE3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合同只写交货，未明确安装、测试、培训、文件验收。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52A8BF7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采购方不验收，付款延迟。</w:t>
            </w:r>
          </w:p>
        </w:tc>
        <w:tc>
          <w:tcPr>
            <w:tcW w:w="4082" w:type="dxa"/>
            <w:shd w:val="clear" w:color="auto" w:fill="FAFAFA"/>
            <w:vAlign w:val="center"/>
          </w:tcPr>
          <w:p w14:paraId="7EC1929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明确验收节点、文件、责任人、签收模板和测试标准。</w:t>
            </w:r>
          </w:p>
        </w:tc>
        <w:tc>
          <w:tcPr>
            <w:tcW w:w="1304" w:type="dxa"/>
            <w:shd w:val="clear" w:color="auto" w:fill="FAFAFA"/>
            <w:vAlign w:val="center"/>
          </w:tcPr>
          <w:p w14:paraId="199EB28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678DBD5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155A0DA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vAlign w:val="center"/>
          </w:tcPr>
          <w:p w14:paraId="4B74811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交付验收</w:t>
            </w:r>
          </w:p>
        </w:tc>
        <w:tc>
          <w:tcPr>
            <w:tcW w:w="2381" w:type="dxa"/>
            <w:vAlign w:val="center"/>
          </w:tcPr>
          <w:p w14:paraId="3EEC45C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培训/安装责任漏算</w:t>
            </w:r>
          </w:p>
        </w:tc>
        <w:tc>
          <w:tcPr>
            <w:tcW w:w="3061" w:type="dxa"/>
            <w:vAlign w:val="center"/>
          </w:tcPr>
          <w:p w14:paraId="694E94E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设备类项目需要现场安装、调试、培训但报价未含。</w:t>
            </w:r>
          </w:p>
        </w:tc>
        <w:tc>
          <w:tcPr>
            <w:tcW w:w="2835" w:type="dxa"/>
            <w:vAlign w:val="center"/>
          </w:tcPr>
          <w:p w14:paraId="13C9C79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额外成本、验收失败。</w:t>
            </w:r>
          </w:p>
        </w:tc>
        <w:tc>
          <w:tcPr>
            <w:tcW w:w="4082" w:type="dxa"/>
            <w:vAlign w:val="center"/>
          </w:tcPr>
          <w:p w14:paraId="71AC206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确认是否含安装培训；加入报价和交付计划。</w:t>
            </w:r>
          </w:p>
        </w:tc>
        <w:tc>
          <w:tcPr>
            <w:tcW w:w="1304" w:type="dxa"/>
            <w:vAlign w:val="center"/>
          </w:tcPr>
          <w:p w14:paraId="72B6E3C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vAlign w:val="center"/>
          </w:tcPr>
          <w:p w14:paraId="4820B6C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754B47A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shd w:val="clear" w:color="auto" w:fill="FAFAFA"/>
            <w:vAlign w:val="center"/>
          </w:tcPr>
          <w:p w14:paraId="17BEC08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交付验收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2A7E203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文件交付不完整</w:t>
            </w:r>
          </w:p>
        </w:tc>
        <w:tc>
          <w:tcPr>
            <w:tcW w:w="3061" w:type="dxa"/>
            <w:shd w:val="clear" w:color="auto" w:fill="FAFAFA"/>
            <w:vAlign w:val="center"/>
          </w:tcPr>
          <w:p w14:paraId="0166F1E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用户手册、证书、保修卡、测试报告、合格证、培训材料缺失。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062E15D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无法验收或影响使用。</w:t>
            </w:r>
          </w:p>
        </w:tc>
        <w:tc>
          <w:tcPr>
            <w:tcW w:w="4082" w:type="dxa"/>
            <w:shd w:val="clear" w:color="auto" w:fill="FAFAFA"/>
            <w:vAlign w:val="center"/>
          </w:tcPr>
          <w:p w14:paraId="4EFCA09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建立“文件交付包”清单；出货前随货/电子版双重提交。</w:t>
            </w:r>
          </w:p>
        </w:tc>
        <w:tc>
          <w:tcPr>
            <w:tcW w:w="1304" w:type="dxa"/>
            <w:shd w:val="clear" w:color="auto" w:fill="FAFAFA"/>
            <w:vAlign w:val="center"/>
          </w:tcPr>
          <w:p w14:paraId="7183AEE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42E436A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24E7FFB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vAlign w:val="center"/>
          </w:tcPr>
          <w:p w14:paraId="11D9372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售后</w:t>
            </w:r>
          </w:p>
        </w:tc>
        <w:tc>
          <w:tcPr>
            <w:tcW w:w="2381" w:type="dxa"/>
            <w:vAlign w:val="center"/>
          </w:tcPr>
          <w:p w14:paraId="2CFBFE6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质保范围不清</w:t>
            </w:r>
          </w:p>
        </w:tc>
        <w:tc>
          <w:tcPr>
            <w:tcW w:w="3061" w:type="dxa"/>
            <w:vAlign w:val="center"/>
          </w:tcPr>
          <w:p w14:paraId="4FB429D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采购方理解为全包，供应商只理解为有限保修。</w:t>
            </w:r>
          </w:p>
        </w:tc>
        <w:tc>
          <w:tcPr>
            <w:tcW w:w="2835" w:type="dxa"/>
            <w:vAlign w:val="center"/>
          </w:tcPr>
          <w:p w14:paraId="1FE7696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争议、额外成本、评价受损。</w:t>
            </w:r>
          </w:p>
        </w:tc>
        <w:tc>
          <w:tcPr>
            <w:tcW w:w="4082" w:type="dxa"/>
            <w:vAlign w:val="center"/>
          </w:tcPr>
          <w:p w14:paraId="4B92971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明确质保期、范围、排除项、响应时限、备件责任。</w:t>
            </w:r>
          </w:p>
        </w:tc>
        <w:tc>
          <w:tcPr>
            <w:tcW w:w="1304" w:type="dxa"/>
            <w:vAlign w:val="center"/>
          </w:tcPr>
          <w:p w14:paraId="27252C9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vAlign w:val="center"/>
          </w:tcPr>
          <w:p w14:paraId="1C8AD0A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0CFC7FD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shd w:val="clear" w:color="auto" w:fill="FAFAFA"/>
            <w:vAlign w:val="center"/>
          </w:tcPr>
          <w:p w14:paraId="3838654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售后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1A78CB2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本地服务资源不足</w:t>
            </w:r>
          </w:p>
        </w:tc>
        <w:tc>
          <w:tcPr>
            <w:tcW w:w="3061" w:type="dxa"/>
            <w:shd w:val="clear" w:color="auto" w:fill="FAFAFA"/>
            <w:vAlign w:val="center"/>
          </w:tcPr>
          <w:p w14:paraId="0D55BFB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需现场维护但供应商没有当地伙伴。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249472B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故障响应慢，影响合同评价。</w:t>
            </w:r>
          </w:p>
        </w:tc>
        <w:tc>
          <w:tcPr>
            <w:tcW w:w="4082" w:type="dxa"/>
            <w:shd w:val="clear" w:color="auto" w:fill="FAFAFA"/>
            <w:vAlign w:val="center"/>
          </w:tcPr>
          <w:p w14:paraId="57312ED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提前对接本地服务商或远程支持方案。</w:t>
            </w:r>
          </w:p>
        </w:tc>
        <w:tc>
          <w:tcPr>
            <w:tcW w:w="1304" w:type="dxa"/>
            <w:shd w:val="clear" w:color="auto" w:fill="FAFAFA"/>
            <w:vAlign w:val="center"/>
          </w:tcPr>
          <w:p w14:paraId="38A4714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2C279D1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7DB3E08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vAlign w:val="center"/>
          </w:tcPr>
          <w:p w14:paraId="6727CAA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售后</w:t>
            </w:r>
          </w:p>
        </w:tc>
        <w:tc>
          <w:tcPr>
            <w:tcW w:w="2381" w:type="dxa"/>
            <w:vAlign w:val="center"/>
          </w:tcPr>
          <w:p w14:paraId="6FC756A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备件和耗材未报价</w:t>
            </w:r>
          </w:p>
        </w:tc>
        <w:tc>
          <w:tcPr>
            <w:tcW w:w="3061" w:type="dxa"/>
            <w:vAlign w:val="center"/>
          </w:tcPr>
          <w:p w14:paraId="32C8F6B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设备需要消耗品、易损件、维护工具。</w:t>
            </w:r>
          </w:p>
        </w:tc>
        <w:tc>
          <w:tcPr>
            <w:tcW w:w="2835" w:type="dxa"/>
            <w:vAlign w:val="center"/>
          </w:tcPr>
          <w:p w14:paraId="2944347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后续无法使用或采购方投诉。</w:t>
            </w:r>
          </w:p>
        </w:tc>
        <w:tc>
          <w:tcPr>
            <w:tcW w:w="4082" w:type="dxa"/>
            <w:vAlign w:val="center"/>
          </w:tcPr>
          <w:p w14:paraId="53E8F49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列备件包、耗材、维护周期和价格。</w:t>
            </w:r>
          </w:p>
        </w:tc>
        <w:tc>
          <w:tcPr>
            <w:tcW w:w="1304" w:type="dxa"/>
            <w:vAlign w:val="center"/>
          </w:tcPr>
          <w:p w14:paraId="3446D09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vAlign w:val="center"/>
          </w:tcPr>
          <w:p w14:paraId="2192728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4DD93C8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shd w:val="clear" w:color="auto" w:fill="FAFAFA"/>
            <w:vAlign w:val="center"/>
          </w:tcPr>
          <w:p w14:paraId="046808C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合规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64A8249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利益冲突/不当接触风险</w:t>
            </w:r>
          </w:p>
        </w:tc>
        <w:tc>
          <w:tcPr>
            <w:tcW w:w="3061" w:type="dxa"/>
            <w:shd w:val="clear" w:color="auto" w:fill="FAFAFA"/>
            <w:vAlign w:val="center"/>
          </w:tcPr>
          <w:p w14:paraId="1FAFE51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私下联系采购人员、送礼、承诺回扣或不当招待。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1F1A04C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取消资格、列入黑名单、法律风险。</w:t>
            </w:r>
          </w:p>
        </w:tc>
        <w:tc>
          <w:tcPr>
            <w:tcW w:w="4082" w:type="dxa"/>
            <w:shd w:val="clear" w:color="auto" w:fill="FAFAFA"/>
            <w:vAlign w:val="center"/>
          </w:tcPr>
          <w:p w14:paraId="1A94853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所有沟通走官方渠道；培训团队统一合规口径。</w:t>
            </w:r>
          </w:p>
        </w:tc>
        <w:tc>
          <w:tcPr>
            <w:tcW w:w="1304" w:type="dxa"/>
            <w:shd w:val="clear" w:color="auto" w:fill="FAFAFA"/>
            <w:vAlign w:val="center"/>
          </w:tcPr>
          <w:p w14:paraId="17CC2A3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4BD71B2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727D59E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vAlign w:val="center"/>
          </w:tcPr>
          <w:p w14:paraId="65FFC68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合规</w:t>
            </w:r>
          </w:p>
        </w:tc>
        <w:tc>
          <w:tcPr>
            <w:tcW w:w="2381" w:type="dxa"/>
            <w:vAlign w:val="center"/>
          </w:tcPr>
          <w:p w14:paraId="4679900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虚假材料或夸大能力</w:t>
            </w:r>
          </w:p>
        </w:tc>
        <w:tc>
          <w:tcPr>
            <w:tcW w:w="3061" w:type="dxa"/>
            <w:vAlign w:val="center"/>
          </w:tcPr>
          <w:p w14:paraId="01681B9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证书过期、案例不真实、产能夸大、授权无效。</w:t>
            </w:r>
          </w:p>
        </w:tc>
        <w:tc>
          <w:tcPr>
            <w:tcW w:w="2835" w:type="dxa"/>
            <w:vAlign w:val="center"/>
          </w:tcPr>
          <w:p w14:paraId="291247B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合同解除、追责、长期禁入。</w:t>
            </w:r>
          </w:p>
        </w:tc>
        <w:tc>
          <w:tcPr>
            <w:tcW w:w="4082" w:type="dxa"/>
            <w:vAlign w:val="center"/>
          </w:tcPr>
          <w:p w14:paraId="085C2F5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所有材料可验证；过期文件不提交；不足之处如实说明。</w:t>
            </w:r>
          </w:p>
        </w:tc>
        <w:tc>
          <w:tcPr>
            <w:tcW w:w="1304" w:type="dxa"/>
            <w:vAlign w:val="center"/>
          </w:tcPr>
          <w:p w14:paraId="702CB7F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vAlign w:val="center"/>
          </w:tcPr>
          <w:p w14:paraId="227E574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  <w:tr w14:paraId="37293BD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30" w:type="dxa"/>
            <w:shd w:val="clear" w:color="auto" w:fill="FAFAFA"/>
            <w:vAlign w:val="center"/>
          </w:tcPr>
          <w:p w14:paraId="7867667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合规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496E205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数据安全/隐私/知识产权风险</w:t>
            </w:r>
          </w:p>
        </w:tc>
        <w:tc>
          <w:tcPr>
            <w:tcW w:w="3061" w:type="dxa"/>
            <w:shd w:val="clear" w:color="auto" w:fill="FAFAFA"/>
            <w:vAlign w:val="center"/>
          </w:tcPr>
          <w:p w14:paraId="6AB8A90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软件、AI、ICT、平台项目涉及数据、源代码、授权、跨境传输。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3F37969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技术评审失败或合同纠纷。</w:t>
            </w:r>
          </w:p>
        </w:tc>
        <w:tc>
          <w:tcPr>
            <w:tcW w:w="4082" w:type="dxa"/>
            <w:shd w:val="clear" w:color="auto" w:fill="FAFAFA"/>
            <w:vAlign w:val="center"/>
          </w:tcPr>
          <w:p w14:paraId="7FA9C99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准备数据合规说明、授权文件、IP边界、运维安全方案。</w:t>
            </w:r>
          </w:p>
        </w:tc>
        <w:tc>
          <w:tcPr>
            <w:tcW w:w="1304" w:type="dxa"/>
            <w:shd w:val="clear" w:color="auto" w:fill="FAFAFA"/>
            <w:vAlign w:val="center"/>
          </w:tcPr>
          <w:p w14:paraId="3DB1E8C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4373181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□未查 □处理中 □已控制</w:t>
            </w:r>
          </w:p>
        </w:tc>
      </w:tr>
    </w:tbl>
    <w:p w14:paraId="4AB8E82C">
      <w:pPr>
        <w:pStyle w:val="2"/>
        <w:spacing w:before="120" w:after="120"/>
      </w:pPr>
      <w:r>
        <w:rPr>
          <w:rFonts w:ascii="微软雅黑" w:hAnsi="微软雅黑" w:eastAsia="微软雅黑"/>
          <w:b/>
          <w:color w:val="1F1F1F"/>
          <w:sz w:val="24"/>
        </w:rPr>
        <w:t>4.2 红灯风险：出现以下情况，原则上不建议直接投标</w:t>
      </w:r>
    </w:p>
    <w:tbl>
      <w:tblPr>
        <w:tblStyle w:val="3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6993"/>
        <w:gridCol w:w="5922"/>
      </w:tblGrid>
      <w:tr w14:paraId="397804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</w:tblPrEx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4285B17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红灯风险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3B1A7EC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判断标准</w:t>
            </w:r>
          </w:p>
        </w:tc>
        <w:tc>
          <w:tcPr>
            <w:tcW w:w="6237" w:type="dxa"/>
            <w:shd w:val="clear" w:color="auto" w:fill="1F4E79"/>
            <w:vAlign w:val="center"/>
          </w:tcPr>
          <w:p w14:paraId="081672C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建议处理</w:t>
            </w:r>
          </w:p>
        </w:tc>
      </w:tr>
      <w:tr w14:paraId="72EC6AB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725360B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硬性资格缺失</w:t>
            </w:r>
          </w:p>
        </w:tc>
        <w:tc>
          <w:tcPr>
            <w:tcW w:w="7371" w:type="dxa"/>
            <w:vAlign w:val="center"/>
          </w:tcPr>
          <w:p w14:paraId="1190AE0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采购文件明确要求的认证、授权、案例、注册等级或财务条件无法满足。</w:t>
            </w:r>
          </w:p>
        </w:tc>
        <w:tc>
          <w:tcPr>
            <w:tcW w:w="6237" w:type="dxa"/>
            <w:vAlign w:val="center"/>
          </w:tcPr>
          <w:p w14:paraId="6433F7C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暂不投；先补资格或作为联合体配角参与。</w:t>
            </w:r>
          </w:p>
        </w:tc>
      </w:tr>
      <w:tr w14:paraId="57B8DC1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4A56885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报价无法闭环</w:t>
            </w:r>
          </w:p>
        </w:tc>
        <w:tc>
          <w:tcPr>
            <w:tcW w:w="7371" w:type="dxa"/>
            <w:shd w:val="clear" w:color="auto" w:fill="FAFAFA"/>
            <w:vAlign w:val="center"/>
          </w:tcPr>
          <w:p w14:paraId="0F2C248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无法准确核算运输、清关、安装、税费、账期、汇率、保函等核心成本。</w:t>
            </w:r>
          </w:p>
        </w:tc>
        <w:tc>
          <w:tcPr>
            <w:tcW w:w="6237" w:type="dxa"/>
            <w:shd w:val="clear" w:color="auto" w:fill="FAFAFA"/>
            <w:vAlign w:val="center"/>
          </w:tcPr>
          <w:p w14:paraId="7CC63E7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先做成本模型和物流询价，再决定是否报价。</w:t>
            </w:r>
          </w:p>
        </w:tc>
      </w:tr>
      <w:tr w14:paraId="445F044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1FB8FF3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目的国履约不可控</w:t>
            </w:r>
          </w:p>
        </w:tc>
        <w:tc>
          <w:tcPr>
            <w:tcW w:w="7371" w:type="dxa"/>
            <w:vAlign w:val="center"/>
          </w:tcPr>
          <w:p w14:paraId="3EBC84A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交付地偏远/高风险，且没有物流、清关、本地服务或安全方案。</w:t>
            </w:r>
          </w:p>
        </w:tc>
        <w:tc>
          <w:tcPr>
            <w:tcW w:w="6237" w:type="dxa"/>
            <w:vAlign w:val="center"/>
          </w:tcPr>
          <w:p w14:paraId="255C34E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寻找本地伙伴或调整为联合体，不独立承担交付。</w:t>
            </w:r>
          </w:p>
        </w:tc>
      </w:tr>
      <w:tr w14:paraId="60C511B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231263A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合同责任不可接受</w:t>
            </w:r>
          </w:p>
        </w:tc>
        <w:tc>
          <w:tcPr>
            <w:tcW w:w="7371" w:type="dxa"/>
            <w:shd w:val="clear" w:color="auto" w:fill="FAFAFA"/>
            <w:vAlign w:val="center"/>
          </w:tcPr>
          <w:p w14:paraId="5DEF9ED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延迟赔偿、无限责任、知识产权、保密、审计权等条款超出企业承受能力。</w:t>
            </w:r>
          </w:p>
        </w:tc>
        <w:tc>
          <w:tcPr>
            <w:tcW w:w="6237" w:type="dxa"/>
            <w:shd w:val="clear" w:color="auto" w:fill="FAFAFA"/>
            <w:vAlign w:val="center"/>
          </w:tcPr>
          <w:p w14:paraId="5BBEF41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法务审阅；提出澄清或不参与。</w:t>
            </w:r>
          </w:p>
        </w:tc>
      </w:tr>
      <w:tr w14:paraId="3488E4D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1EB6F25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合规风险不可控</w:t>
            </w:r>
          </w:p>
        </w:tc>
        <w:tc>
          <w:tcPr>
            <w:tcW w:w="7371" w:type="dxa"/>
            <w:vAlign w:val="center"/>
          </w:tcPr>
          <w:p w14:paraId="76BC2F6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存在制裁、出口管制、虚假材料、利益冲突、不当沟通等风险。</w:t>
            </w:r>
          </w:p>
        </w:tc>
        <w:tc>
          <w:tcPr>
            <w:tcW w:w="6237" w:type="dxa"/>
            <w:vAlign w:val="center"/>
          </w:tcPr>
          <w:p w14:paraId="11211CA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立即停止推进，进行合规核查。</w:t>
            </w:r>
          </w:p>
        </w:tc>
      </w:tr>
    </w:tbl>
    <w:p w14:paraId="6E684A03">
      <w:pPr>
        <w:pStyle w:val="2"/>
        <w:spacing w:before="120" w:after="120"/>
      </w:pPr>
      <w:r>
        <w:rPr>
          <w:rFonts w:ascii="微软雅黑" w:hAnsi="微软雅黑" w:eastAsia="微软雅黑"/>
          <w:b/>
          <w:color w:val="1F1F1F"/>
          <w:sz w:val="24"/>
        </w:rPr>
        <w:t>4.3 会后风险处理记录</w:t>
      </w:r>
    </w:p>
    <w:tbl>
      <w:tblPr>
        <w:tblStyle w:val="3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6"/>
        <w:gridCol w:w="2491"/>
        <w:gridCol w:w="5319"/>
        <w:gridCol w:w="1568"/>
        <w:gridCol w:w="1577"/>
        <w:gridCol w:w="2003"/>
      </w:tblGrid>
      <w:tr w14:paraId="2640A22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7769320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风险编号/名称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4338AF9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  <w:tc>
          <w:tcPr>
            <w:tcW w:w="5670" w:type="dxa"/>
            <w:shd w:val="clear" w:color="auto" w:fill="1F4E79"/>
            <w:vAlign w:val="center"/>
          </w:tcPr>
          <w:p w14:paraId="41B1985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处理动作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16F8EA5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3EF5869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截止日期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688704F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是否影响投标决策</w:t>
            </w:r>
          </w:p>
        </w:tc>
      </w:tr>
      <w:tr w14:paraId="6111186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40F7098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</w:t>
            </w:r>
          </w:p>
        </w:tc>
        <w:tc>
          <w:tcPr>
            <w:tcW w:w="2835" w:type="dxa"/>
            <w:vAlign w:val="center"/>
          </w:tcPr>
          <w:p w14:paraId="556669C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□未处理 □处理中 □已关闭</w:t>
            </w:r>
          </w:p>
        </w:tc>
        <w:tc>
          <w:tcPr>
            <w:tcW w:w="5670" w:type="dxa"/>
            <w:vAlign w:val="center"/>
          </w:tcPr>
          <w:p w14:paraId="54000E8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</w:t>
            </w:r>
          </w:p>
        </w:tc>
        <w:tc>
          <w:tcPr>
            <w:tcW w:w="1701" w:type="dxa"/>
            <w:vAlign w:val="center"/>
          </w:tcPr>
          <w:p w14:paraId="29DA4B1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vAlign w:val="center"/>
          </w:tcPr>
          <w:p w14:paraId="6273E37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  <w:tc>
          <w:tcPr>
            <w:tcW w:w="2268" w:type="dxa"/>
            <w:vAlign w:val="center"/>
          </w:tcPr>
          <w:p w14:paraId="4DD5039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□影响 □不影响 □待判断</w:t>
            </w:r>
          </w:p>
        </w:tc>
      </w:tr>
      <w:tr w14:paraId="14D7226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06B5007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42A26A0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□未处理 □处理中 □已关闭</w:t>
            </w:r>
          </w:p>
        </w:tc>
        <w:tc>
          <w:tcPr>
            <w:tcW w:w="5670" w:type="dxa"/>
            <w:shd w:val="clear" w:color="auto" w:fill="FAFAFA"/>
            <w:vAlign w:val="center"/>
          </w:tcPr>
          <w:p w14:paraId="2A8EE83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54B7214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3A107FF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25095A2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□影响 □不影响 □待判断</w:t>
            </w:r>
          </w:p>
        </w:tc>
      </w:tr>
      <w:tr w14:paraId="5AAC74D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4EEBACD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</w:t>
            </w:r>
          </w:p>
        </w:tc>
        <w:tc>
          <w:tcPr>
            <w:tcW w:w="2835" w:type="dxa"/>
            <w:vAlign w:val="center"/>
          </w:tcPr>
          <w:p w14:paraId="0DFB8C1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□未处理 □处理中 □已关闭</w:t>
            </w:r>
          </w:p>
        </w:tc>
        <w:tc>
          <w:tcPr>
            <w:tcW w:w="5670" w:type="dxa"/>
            <w:vAlign w:val="center"/>
          </w:tcPr>
          <w:p w14:paraId="00FF84C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</w:t>
            </w:r>
          </w:p>
        </w:tc>
        <w:tc>
          <w:tcPr>
            <w:tcW w:w="1701" w:type="dxa"/>
            <w:vAlign w:val="center"/>
          </w:tcPr>
          <w:p w14:paraId="5160C9E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vAlign w:val="center"/>
          </w:tcPr>
          <w:p w14:paraId="7E2F9EE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  <w:tc>
          <w:tcPr>
            <w:tcW w:w="2268" w:type="dxa"/>
            <w:vAlign w:val="center"/>
          </w:tcPr>
          <w:p w14:paraId="1271845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□影响 □不影响 □待判断</w:t>
            </w:r>
          </w:p>
        </w:tc>
      </w:tr>
      <w:tr w14:paraId="3F0F622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58D7F41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69E45C2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□未处理 □处理中 □已关闭</w:t>
            </w:r>
          </w:p>
        </w:tc>
        <w:tc>
          <w:tcPr>
            <w:tcW w:w="5670" w:type="dxa"/>
            <w:shd w:val="clear" w:color="auto" w:fill="FAFAFA"/>
            <w:vAlign w:val="center"/>
          </w:tcPr>
          <w:p w14:paraId="162BFC2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180C1EA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3A9F2C8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3ADADA8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□影响 □不影响 □待判断</w:t>
            </w:r>
          </w:p>
        </w:tc>
      </w:tr>
      <w:tr w14:paraId="4FE6062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29E37BB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</w:t>
            </w:r>
          </w:p>
        </w:tc>
        <w:tc>
          <w:tcPr>
            <w:tcW w:w="2835" w:type="dxa"/>
            <w:vAlign w:val="center"/>
          </w:tcPr>
          <w:p w14:paraId="7567097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□未处理 □处理中 □已关闭</w:t>
            </w:r>
          </w:p>
        </w:tc>
        <w:tc>
          <w:tcPr>
            <w:tcW w:w="5670" w:type="dxa"/>
            <w:vAlign w:val="center"/>
          </w:tcPr>
          <w:p w14:paraId="3BC0B58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</w:t>
            </w:r>
          </w:p>
        </w:tc>
        <w:tc>
          <w:tcPr>
            <w:tcW w:w="1701" w:type="dxa"/>
            <w:vAlign w:val="center"/>
          </w:tcPr>
          <w:p w14:paraId="4C740D6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vAlign w:val="center"/>
          </w:tcPr>
          <w:p w14:paraId="01F4CD4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  <w:tc>
          <w:tcPr>
            <w:tcW w:w="2268" w:type="dxa"/>
            <w:vAlign w:val="center"/>
          </w:tcPr>
          <w:p w14:paraId="7202CDF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□影响 □不影响 □待判断</w:t>
            </w:r>
          </w:p>
        </w:tc>
      </w:tr>
      <w:tr w14:paraId="042308E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37163F1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69654C6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□未处理 □处理中 □已关闭</w:t>
            </w:r>
          </w:p>
        </w:tc>
        <w:tc>
          <w:tcPr>
            <w:tcW w:w="5670" w:type="dxa"/>
            <w:shd w:val="clear" w:color="auto" w:fill="FAFAFA"/>
            <w:vAlign w:val="center"/>
          </w:tcPr>
          <w:p w14:paraId="51650F6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72DAF78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53748A0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0A4E6EA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□影响 □不影响 □待判断</w:t>
            </w:r>
          </w:p>
        </w:tc>
      </w:tr>
      <w:tr w14:paraId="2FF6187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61F37C3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</w:t>
            </w:r>
          </w:p>
        </w:tc>
        <w:tc>
          <w:tcPr>
            <w:tcW w:w="2835" w:type="dxa"/>
            <w:vAlign w:val="center"/>
          </w:tcPr>
          <w:p w14:paraId="5D7D9B8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□未处理 □处理中 □已关闭</w:t>
            </w:r>
          </w:p>
        </w:tc>
        <w:tc>
          <w:tcPr>
            <w:tcW w:w="5670" w:type="dxa"/>
            <w:vAlign w:val="center"/>
          </w:tcPr>
          <w:p w14:paraId="2ED3BE2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</w:t>
            </w:r>
          </w:p>
        </w:tc>
        <w:tc>
          <w:tcPr>
            <w:tcW w:w="1701" w:type="dxa"/>
            <w:vAlign w:val="center"/>
          </w:tcPr>
          <w:p w14:paraId="63FA0D1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vAlign w:val="center"/>
          </w:tcPr>
          <w:p w14:paraId="6250C5C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  <w:tc>
          <w:tcPr>
            <w:tcW w:w="2268" w:type="dxa"/>
            <w:vAlign w:val="center"/>
          </w:tcPr>
          <w:p w14:paraId="1840388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□影响 □不影响 □待判断</w:t>
            </w:r>
          </w:p>
        </w:tc>
      </w:tr>
      <w:tr w14:paraId="4207878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7012122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3BBA80C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□未处理 □处理中 □已关闭</w:t>
            </w:r>
          </w:p>
        </w:tc>
        <w:tc>
          <w:tcPr>
            <w:tcW w:w="5670" w:type="dxa"/>
            <w:shd w:val="clear" w:color="auto" w:fill="FAFAFA"/>
            <w:vAlign w:val="center"/>
          </w:tcPr>
          <w:p w14:paraId="7DBAD68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31E704D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733277D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6B26256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□影响 □不影响 □待判断</w:t>
            </w:r>
          </w:p>
        </w:tc>
      </w:tr>
      <w:tr w14:paraId="22CCD08B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0" w:type="dxa"/>
            <w:gridSpan w:val="6"/>
            <w:shd w:val="clear" w:color="auto" w:fill="FFF2CC"/>
          </w:tcPr>
          <w:p w14:paraId="6BB084CA">
            <w:pPr>
              <w:spacing w:after="0"/>
              <w:ind w:left="85" w:right="85"/>
            </w:pPr>
            <w:r>
              <w:rPr>
                <w:rFonts w:ascii="微软雅黑" w:hAnsi="微软雅黑" w:eastAsia="微软雅黑"/>
                <w:sz w:val="18"/>
              </w:rPr>
              <w:t>建议流程：发现红灯风险 → 项目组/顾问复核 → 企业负责人确认 → 决定“继续投、联合体投、补资料后投、放弃”。</w:t>
            </w:r>
          </w:p>
        </w:tc>
      </w:tr>
    </w:tbl>
    <w:p w14:paraId="0BAC9AA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ascii="微软雅黑" w:hAnsi="微软雅黑" w:eastAsia="微软雅黑"/>
          <w:b/>
          <w:color w:val="1F1F1F"/>
          <w:sz w:val="24"/>
        </w:rPr>
      </w:pPr>
    </w:p>
    <w:p w14:paraId="2ED92A3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bookmarkStart w:id="0" w:name="_GoBack"/>
      <w:bookmarkEnd w:id="0"/>
      <w:r>
        <w:rPr>
          <w:rFonts w:ascii="微软雅黑" w:hAnsi="微软雅黑" w:eastAsia="微软雅黑"/>
          <w:b/>
          <w:color w:val="1F1F1F"/>
          <w:sz w:val="24"/>
        </w:rPr>
        <w:t>附：现场提交与CRM录入建议</w:t>
      </w:r>
    </w:p>
    <w:tbl>
      <w:tblPr>
        <w:tblStyle w:val="3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4828"/>
        <w:gridCol w:w="4324"/>
        <w:gridCol w:w="3762"/>
      </w:tblGrid>
      <w:tr w14:paraId="424A0FD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37D6EAF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资料类型</w:t>
            </w:r>
          </w:p>
        </w:tc>
        <w:tc>
          <w:tcPr>
            <w:tcW w:w="5103" w:type="dxa"/>
            <w:shd w:val="clear" w:color="auto" w:fill="1F4E79"/>
            <w:vAlign w:val="center"/>
          </w:tcPr>
          <w:p w14:paraId="76E87EB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企业现场提交方式</w:t>
            </w:r>
          </w:p>
        </w:tc>
        <w:tc>
          <w:tcPr>
            <w:tcW w:w="4536" w:type="dxa"/>
            <w:shd w:val="clear" w:color="auto" w:fill="1F4E79"/>
            <w:vAlign w:val="center"/>
          </w:tcPr>
          <w:p w14:paraId="7DAE2D1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CRM建议字段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CD194B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会后跟进动作</w:t>
            </w:r>
          </w:p>
        </w:tc>
      </w:tr>
      <w:tr w14:paraId="4679A04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6172E61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四表扫描件/照片</w:t>
            </w:r>
          </w:p>
        </w:tc>
        <w:tc>
          <w:tcPr>
            <w:tcW w:w="5103" w:type="dxa"/>
            <w:vAlign w:val="center"/>
          </w:tcPr>
          <w:p w14:paraId="33D6E79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按企业编号上传至资料收集二维码。</w:t>
            </w:r>
          </w:p>
        </w:tc>
        <w:tc>
          <w:tcPr>
            <w:tcW w:w="4536" w:type="dxa"/>
            <w:vAlign w:val="center"/>
          </w:tcPr>
          <w:p w14:paraId="1B3E6D8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表单状态、填写完整度、A/B/C分级。</w:t>
            </w:r>
          </w:p>
        </w:tc>
        <w:tc>
          <w:tcPr>
            <w:tcW w:w="3969" w:type="dxa"/>
            <w:vAlign w:val="center"/>
          </w:tcPr>
          <w:p w14:paraId="374375C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项目助理24小时内归档。</w:t>
            </w:r>
          </w:p>
        </w:tc>
      </w:tr>
      <w:tr w14:paraId="44A87AD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1CFC522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企业资质文件</w:t>
            </w:r>
          </w:p>
        </w:tc>
        <w:tc>
          <w:tcPr>
            <w:tcW w:w="5103" w:type="dxa"/>
            <w:shd w:val="clear" w:color="auto" w:fill="FAFAFA"/>
            <w:vAlign w:val="center"/>
          </w:tcPr>
          <w:p w14:paraId="3588666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营业执照、认证、授权、检测报告、英文目录。</w:t>
            </w:r>
          </w:p>
        </w:tc>
        <w:tc>
          <w:tcPr>
            <w:tcW w:w="4536" w:type="dxa"/>
            <w:shd w:val="clear" w:color="auto" w:fill="FAFAFA"/>
            <w:vAlign w:val="center"/>
          </w:tcPr>
          <w:p w14:paraId="13D76ED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资质完整度、认证有效期、缺口标签。</w:t>
            </w:r>
          </w:p>
        </w:tc>
        <w:tc>
          <w:tcPr>
            <w:tcW w:w="3969" w:type="dxa"/>
            <w:shd w:val="clear" w:color="auto" w:fill="FAFAFA"/>
            <w:vAlign w:val="center"/>
          </w:tcPr>
          <w:p w14:paraId="3648C51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7天内完成资料缺口表。</w:t>
            </w:r>
          </w:p>
        </w:tc>
      </w:tr>
      <w:tr w14:paraId="084BC06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3A28D85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目标产品/SKU</w:t>
            </w:r>
          </w:p>
        </w:tc>
        <w:tc>
          <w:tcPr>
            <w:tcW w:w="5103" w:type="dxa"/>
            <w:vAlign w:val="center"/>
          </w:tcPr>
          <w:p w14:paraId="0C6A835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主推3-5个产品，附英文名称和参数。</w:t>
            </w:r>
          </w:p>
        </w:tc>
        <w:tc>
          <w:tcPr>
            <w:tcW w:w="4536" w:type="dxa"/>
            <w:vAlign w:val="center"/>
          </w:tcPr>
          <w:p w14:paraId="26AAA84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产品标签、UNSPSC、适配机构、采购形式。</w:t>
            </w:r>
          </w:p>
        </w:tc>
        <w:tc>
          <w:tcPr>
            <w:tcW w:w="3969" w:type="dxa"/>
            <w:vAlign w:val="center"/>
          </w:tcPr>
          <w:p w14:paraId="6E7BFF4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14天内匹配10条标讯。</w:t>
            </w:r>
          </w:p>
        </w:tc>
      </w:tr>
      <w:tr w14:paraId="4D15ADF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2105070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高潜项目信息</w:t>
            </w:r>
          </w:p>
        </w:tc>
        <w:tc>
          <w:tcPr>
            <w:tcW w:w="5103" w:type="dxa"/>
            <w:shd w:val="clear" w:color="auto" w:fill="FAFAFA"/>
            <w:vAlign w:val="center"/>
          </w:tcPr>
          <w:p w14:paraId="0865BF8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企业勾选可投/联合投项目。</w:t>
            </w:r>
          </w:p>
        </w:tc>
        <w:tc>
          <w:tcPr>
            <w:tcW w:w="4536" w:type="dxa"/>
            <w:shd w:val="clear" w:color="auto" w:fill="FAFAFA"/>
            <w:vAlign w:val="center"/>
          </w:tcPr>
          <w:p w14:paraId="7505464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机会等级、项目状态、负责人、截止节点。</w:t>
            </w:r>
          </w:p>
        </w:tc>
        <w:tc>
          <w:tcPr>
            <w:tcW w:w="3969" w:type="dxa"/>
            <w:shd w:val="clear" w:color="auto" w:fill="FAFAFA"/>
            <w:vAlign w:val="center"/>
          </w:tcPr>
          <w:p w14:paraId="6E54E7B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21天内形成3标拆解报告。</w:t>
            </w:r>
          </w:p>
        </w:tc>
      </w:tr>
      <w:tr w14:paraId="6107C20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67FC9BD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正式应标意向</w:t>
            </w:r>
          </w:p>
        </w:tc>
        <w:tc>
          <w:tcPr>
            <w:tcW w:w="5103" w:type="dxa"/>
            <w:vAlign w:val="center"/>
          </w:tcPr>
          <w:p w14:paraId="4602B77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填写会后30天行动计划或陪跑意向表。</w:t>
            </w:r>
          </w:p>
        </w:tc>
        <w:tc>
          <w:tcPr>
            <w:tcW w:w="4536" w:type="dxa"/>
            <w:vAlign w:val="center"/>
          </w:tcPr>
          <w:p w14:paraId="7478E3B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服务意向、预算范围、跟进顾问、下一次会议。</w:t>
            </w:r>
          </w:p>
        </w:tc>
        <w:tc>
          <w:tcPr>
            <w:tcW w:w="3969" w:type="dxa"/>
            <w:vAlign w:val="center"/>
          </w:tcPr>
          <w:p w14:paraId="7C48EE1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30天内确定首标启动。</w:t>
            </w:r>
          </w:p>
        </w:tc>
      </w:tr>
    </w:tbl>
    <w:p w14:paraId="4B9F4D00"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C65BF9"/>
    <w:rsid w:val="09FE75F3"/>
    <w:rsid w:val="0DC65BF9"/>
    <w:rsid w:val="2E421B72"/>
    <w:rsid w:val="37910FBB"/>
    <w:rsid w:val="55342CF9"/>
    <w:rsid w:val="5C3F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2026-06-21T02:46:00Z</dcterms:created>
  <dc:creator>allenpo</dc:creator>
  <cp:lastModifiedBy>allenpo</cp:lastModifiedBy>
  <dcterms:modified xsi:type="dcterms:W3CDTF">2026-06-21T02:59:20Z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DB87B9D2CA3B416188E0973DF7E85310_13</vt:lpwstr>
  </property>
  <property fmtid="{D5CDD505-2E9C-101B-9397-08002B2CF9AE}" pid="4" name="KSOTemplateDocerSaveRecord">
    <vt:lpwstr>eyJoZGlkIjoiYzFhZGY0ZTViYWQyN2I0ZGJhNDk0OThkMjNkNmQ2MDYiLCJ1c2VySWQiOiIzNjEyMDc1MjUifQ==</vt:lpwstr>
  </property>
</Properties>
</file>