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59833">
      <w:pPr>
        <w:pStyle w:val="2"/>
        <w:pageBreakBefore w:val="0"/>
        <w:widowControl/>
        <w:kinsoku/>
        <w:wordWrap/>
        <w:overflowPunct/>
        <w:topLinePunct w:val="0"/>
        <w:autoSpaceDE/>
        <w:autoSpaceDN/>
        <w:bidi w:val="0"/>
        <w:adjustRightInd/>
        <w:snapToGrid/>
        <w:spacing w:line="312" w:lineRule="auto"/>
        <w:textAlignment w:val="auto"/>
      </w:pPr>
      <w:bookmarkStart w:id="0" w:name="基于深度学习的超构表面单元逆向设计及反常折射物理模型"/>
      <w:r>
        <w:rPr>
          <w:rFonts w:hint="eastAsia"/>
        </w:rPr>
        <w:t>基于深度学习的超构表面单元逆向设计及反常折射物理模型</w:t>
      </w:r>
    </w:p>
    <w:p w14:paraId="08A5E593">
      <w:pPr>
        <w:pStyle w:val="4"/>
        <w:pageBreakBefore w:val="0"/>
        <w:widowControl/>
        <w:kinsoku/>
        <w:wordWrap/>
        <w:overflowPunct/>
        <w:topLinePunct w:val="0"/>
        <w:autoSpaceDE/>
        <w:autoSpaceDN/>
        <w:bidi w:val="0"/>
        <w:adjustRightInd/>
        <w:snapToGrid/>
        <w:spacing w:line="312" w:lineRule="auto"/>
        <w:textAlignment w:val="auto"/>
      </w:pPr>
      <w:bookmarkStart w:id="1" w:name="摘要"/>
      <w:r>
        <w:rPr>
          <w:rFonts w:hint="eastAsia"/>
        </w:rPr>
        <w:t>摘要</w:t>
      </w:r>
    </w:p>
    <w:p w14:paraId="3843D9F9">
      <w:pPr>
        <w:pStyle w:val="3"/>
        <w:pageBreakBefore w:val="0"/>
        <w:widowControl/>
        <w:kinsoku/>
        <w:wordWrap/>
        <w:overflowPunct/>
        <w:topLinePunct w:val="0"/>
        <w:autoSpaceDE/>
        <w:autoSpaceDN/>
        <w:bidi w:val="0"/>
        <w:adjustRightInd/>
        <w:snapToGrid/>
        <w:spacing w:line="312" w:lineRule="auto"/>
        <w:textAlignment w:val="auto"/>
      </w:pPr>
      <w:r>
        <w:rPr>
          <w:rFonts w:hint="eastAsia"/>
        </w:rPr>
        <w:t>超构表面是由亚波长人工结构单元构成的二维电磁调控器件，能够在亚波长尺度下对电磁波的相位、振幅与偏振态进行精准调控，突破了传统光学器件受材料本征折射率限制的瓶颈，为波前工程提供了高度灵活的设计途径。其电磁响应严格遵循麦克斯韦方程组，但传统设计方法依赖计算昂贵的全波仿真与参数扫描，难以高效求解从目标响应到结构参数的高维非线性逆问题。本文基于等效介质理论与Fabry–Pérot共振模型生成物理自洽的监督数据集，采用前向–逆向串联（Tandem）神经网络架构，将正向物理模型作为内生约束嵌入逆向训练过程，在1550</w:t>
      </w:r>
      <w:r>
        <w:t xml:space="preserve"> </w:t>
      </w:r>
      <w:r>
        <w:rPr>
          <w:rFonts w:hint="eastAsia"/>
        </w:rPr>
        <w:t>nm通信波段实现了超构表面单元从目标相位到几何参数（宽度</w:t>
      </w:r>
      <w:r>
        <w:t xml:space="preserve"> </w:t>
      </w:r>
      <m:oMath>
        <m:r>
          <m:rPr/>
          <m:t>w</m:t>
        </m:r>
      </m:oMath>
      <w:r>
        <w:rPr>
          <w:rFonts w:hint="eastAsia"/>
        </w:rPr>
        <w:t>、周期</w:t>
      </w:r>
      <w:r>
        <w:t xml:space="preserve"> </w:t>
      </w:r>
      <m:oMath>
        <m:r>
          <m:rPr/>
          <m:t>p</m:t>
        </m:r>
      </m:oMath>
      <w:r>
        <w:rPr>
          <w:rFonts w:hint="eastAsia"/>
        </w:rPr>
        <w:t>）的高效逆向设计。针对目标折射角</w:t>
      </w:r>
      <w:r>
        <w:t xml:space="preserve"> </w:t>
      </w:r>
      <m:oMath>
        <m:sSup>
          <m:sSupPr/>
          <m:e>
            <m:r>
              <m:rPr/>
              <m:t>30</m:t>
            </m:r>
          </m:e>
          <m:sup>
            <m:r>
              <m:rPr>
                <m:sty m:val="p"/>
              </m:rPr>
              <m:t>∘</m:t>
            </m:r>
          </m:sup>
        </m:sSup>
      </m:oMath>
      <w:r>
        <w:rPr>
          <w:rFonts w:hint="eastAsia"/>
        </w:rPr>
        <w:t>，设计了一维21单元超构表面阵列，所得结构相位误差均值仅</w:t>
      </w:r>
      <w:r>
        <w:t xml:space="preserve"> </w:t>
      </w:r>
      <m:oMath>
        <m:sSup>
          <m:sSupPr/>
          <m:e>
            <m:r>
              <m:rPr/>
              <m:t>1.44</m:t>
            </m:r>
          </m:e>
          <m:sup>
            <m:r>
              <m:rPr>
                <m:sty m:val="p"/>
              </m:rPr>
              <m:t>∘</m:t>
            </m:r>
          </m:sup>
        </m:sSup>
      </m:oMath>
      <w:r>
        <w:rPr>
          <w:rFonts w:hint="eastAsia"/>
        </w:rPr>
        <w:t>，等效折射角与理论值偏差</w:t>
      </w:r>
      <w:r>
        <w:t xml:space="preserve"> </w:t>
      </w:r>
      <m:oMath>
        <m:sSup>
          <m:sSupPr/>
          <m:e>
            <m:r>
              <m:rPr/>
              <m:t>0.0</m:t>
            </m:r>
          </m:e>
          <m:sup>
            <m:r>
              <m:rPr>
                <m:sty m:val="p"/>
              </m:rPr>
              <m:t>∘</m:t>
            </m:r>
          </m:sup>
        </m:sSup>
      </m:oMath>
      <w:r>
        <w:rPr>
          <w:rFonts w:hint="eastAsia"/>
        </w:rPr>
        <w:t>，验证了该框架的物理一致性与设计精度。所有代码与结果已在GitHub开源。</w:t>
      </w:r>
    </w:p>
    <w:p w14:paraId="6D6A846A">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关键词：</w:t>
      </w:r>
      <w:r>
        <w:t xml:space="preserve"> </w:t>
      </w:r>
      <w:r>
        <w:rPr>
          <w:rFonts w:hint="eastAsia"/>
        </w:rPr>
        <w:t>超构表面；深度学习；逆向设计；Tandem网络；广义斯涅尔定律</w:t>
      </w:r>
    </w:p>
    <w:p w14:paraId="5408DC68">
      <w:pPr>
        <w:pageBreakBefore w:val="0"/>
        <w:widowControl/>
        <w:kinsoku/>
        <w:wordWrap/>
        <w:overflowPunct/>
        <w:topLinePunct w:val="0"/>
        <w:autoSpaceDE/>
        <w:autoSpaceDN/>
        <w:bidi w:val="0"/>
        <w:adjustRightInd/>
        <w:snapToGrid/>
        <w:spacing w:line="312" w:lineRule="auto"/>
        <w:textAlignment w:val="auto"/>
      </w:pPr>
      <w:r>
        <w:pict>
          <v:rect id="_x0000_i1025" o:spt="1" style="height:1.5pt;width:0pt;" coordsize="21600,21600" o:hr="t" o:hrstd="t" o:hralign="center">
            <v:path/>
            <v:fill focussize="0,0"/>
            <v:stroke/>
            <v:imagedata o:title=""/>
            <o:lock v:ext="edit"/>
            <w10:wrap type="none"/>
            <w10:anchorlock/>
          </v:rect>
        </w:pict>
      </w:r>
    </w:p>
    <w:bookmarkEnd w:id="1"/>
    <w:p w14:paraId="30528A31">
      <w:pPr>
        <w:pStyle w:val="4"/>
        <w:pageBreakBefore w:val="0"/>
        <w:widowControl/>
        <w:kinsoku/>
        <w:wordWrap/>
        <w:overflowPunct/>
        <w:topLinePunct w:val="0"/>
        <w:autoSpaceDE/>
        <w:autoSpaceDN/>
        <w:bidi w:val="0"/>
        <w:adjustRightInd/>
        <w:snapToGrid/>
        <w:spacing w:line="312" w:lineRule="auto"/>
        <w:textAlignment w:val="auto"/>
        <w:rPr>
          <w:rFonts w:hint="eastAsia" w:eastAsiaTheme="majorEastAsia"/>
          <w:lang w:eastAsia="zh-CN"/>
        </w:rPr>
      </w:pPr>
      <w:bookmarkStart w:id="2" w:name="研究背景与问题"/>
      <w:r>
        <w:t xml:space="preserve">1. </w:t>
      </w:r>
      <w:r>
        <w:rPr>
          <w:rFonts w:hint="eastAsia"/>
        </w:rPr>
        <w:t>研究背景与问题</w:t>
      </w:r>
      <w:r>
        <w:rPr>
          <w:rFonts w:hint="eastAsia"/>
          <w:lang w:eastAsia="zh-CN"/>
        </w:rPr>
        <w:t>（</w:t>
      </w:r>
      <w:r>
        <w:rPr>
          <w:rFonts w:hint="eastAsia"/>
          <w:lang w:val="en-US" w:eastAsia="zh-CN"/>
        </w:rPr>
        <w:t>用另一个文档里面的比较好</w:t>
      </w:r>
      <w:bookmarkStart w:id="22" w:name="_GoBack"/>
      <w:bookmarkEnd w:id="22"/>
      <w:r>
        <w:rPr>
          <w:rFonts w:hint="eastAsia"/>
          <w:lang w:eastAsia="zh-CN"/>
        </w:rPr>
        <w:t>）</w:t>
      </w:r>
    </w:p>
    <w:p w14:paraId="1595F5DE">
      <w:pPr>
        <w:pStyle w:val="3"/>
        <w:pageBreakBefore w:val="0"/>
        <w:widowControl/>
        <w:kinsoku/>
        <w:wordWrap/>
        <w:overflowPunct/>
        <w:topLinePunct w:val="0"/>
        <w:autoSpaceDE/>
        <w:autoSpaceDN/>
        <w:bidi w:val="0"/>
        <w:adjustRightInd/>
        <w:snapToGrid/>
        <w:spacing w:line="312" w:lineRule="auto"/>
        <w:textAlignment w:val="auto"/>
      </w:pPr>
      <w:r>
        <w:rPr>
          <w:rFonts w:hint="eastAsia"/>
        </w:rPr>
        <w:t>超构表面（metasurface）由亚波长尺度的纳米天线阵列构成。通过在界面处引入空间变化的相位突变，可在极短距离内任意调控电磁波前，实现反常折射、超透镜、涡旋光束等奇异功能。2011年，Yu与Capasso系统提出了广义斯涅尔定律[1]。</w:t>
      </w:r>
    </w:p>
    <w:p w14:paraId="06873335">
      <w:pPr>
        <w:pStyle w:val="3"/>
        <w:pageBreakBefore w:val="0"/>
        <w:widowControl/>
        <w:kinsoku/>
        <w:wordWrap/>
        <w:overflowPunct/>
        <w:topLinePunct w:val="0"/>
        <w:autoSpaceDE/>
        <w:autoSpaceDN/>
        <w:bidi w:val="0"/>
        <w:adjustRightInd/>
        <w:snapToGrid/>
        <w:spacing w:line="312" w:lineRule="auto"/>
        <w:textAlignment w:val="auto"/>
      </w:pPr>
      <w:r>
        <w:rPr>
          <w:rFonts w:hint="eastAsia"/>
        </w:rPr>
        <w:t>传统斯涅尔定律</w:t>
      </w:r>
      <w:r>
        <w:t xml:space="preserve"> </w:t>
      </w:r>
      <m:oMath>
        <m:sSub>
          <m:sSubPr/>
          <m:e>
            <m:r>
              <m:rPr/>
              <m:t>n</m:t>
            </m:r>
          </m:e>
          <m:sub>
            <m:r>
              <m:rPr/>
              <m:t>1</m:t>
            </m:r>
          </m:sub>
        </m:sSub>
        <m:r>
          <m:rPr>
            <m:sty m:val="p"/>
          </m:rPr>
          <m:t>sin</m:t>
        </m:r>
        <m:sSub>
          <m:sSubPr/>
          <m:e>
            <m:r>
              <m:rPr/>
              <m:t>θ</m:t>
            </m:r>
          </m:e>
          <m:sub>
            <m:r>
              <m:rPr/>
              <m:t>1</m:t>
            </m:r>
          </m:sub>
        </m:sSub>
        <m:r>
          <m:rPr>
            <m:sty m:val="p"/>
          </m:rPr>
          <m:t>=</m:t>
        </m:r>
        <m:sSub>
          <m:sSubPr/>
          <m:e>
            <m:r>
              <m:rPr/>
              <m:t>n</m:t>
            </m:r>
          </m:e>
          <m:sub>
            <m:r>
              <m:rPr/>
              <m:t>2</m:t>
            </m:r>
          </m:sub>
        </m:sSub>
        <m:r>
          <m:rPr>
            <m:sty m:val="p"/>
          </m:rPr>
          <m:t>sin</m:t>
        </m:r>
        <m:sSub>
          <m:sSubPr/>
          <m:e>
            <m:r>
              <m:rPr/>
              <m:t>θ</m:t>
            </m:r>
          </m:e>
          <m:sub>
            <m:r>
              <m:rPr/>
              <m:t>2</m:t>
            </m:r>
          </m:sub>
        </m:sSub>
      </m:oMath>
      <w:r>
        <w:t xml:space="preserve"> </w:t>
      </w:r>
      <w:r>
        <w:rPr>
          <w:rFonts w:hint="eastAsia"/>
        </w:rPr>
        <w:t>源于界面处切向波矢连续，本质反映横向动量守恒。若在界面引入空间相位分布</w:t>
      </w:r>
      <w:r>
        <w:t xml:space="preserve"> </w:t>
      </w:r>
      <m:oMath>
        <m:r>
          <m:rPr>
            <m:sty m:val="p"/>
          </m:rPr>
          <m:t>Φ(</m:t>
        </m:r>
        <m:r>
          <m:rPr/>
          <m:t>x</m:t>
        </m:r>
        <m:r>
          <m:rPr>
            <m:sty m:val="p"/>
          </m:rPr>
          <m:t>)</m:t>
        </m:r>
      </m:oMath>
      <w:r>
        <w:rPr>
          <w:rFonts w:hint="eastAsia"/>
        </w:rPr>
        <w:t>，则新的相位匹配条件为：</w:t>
      </w:r>
    </w:p>
    <w:p w14:paraId="49400D47">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t>k</m:t>
              </m:r>
            </m:e>
            <m:sub>
              <m:r>
                <m:rPr/>
                <m:t>1x</m:t>
              </m:r>
            </m:sub>
          </m:sSub>
          <m:r>
            <m:rPr/>
            <m:t>x</m:t>
          </m:r>
          <m:r>
            <m:rPr>
              <m:sty m:val="p"/>
            </m:rPr>
            <m:t>+Φ(</m:t>
          </m:r>
          <m:r>
            <m:rPr/>
            <m:t>x</m:t>
          </m:r>
          <m:r>
            <m:rPr>
              <m:sty m:val="p"/>
            </m:rPr>
            <m:t>)=</m:t>
          </m:r>
          <m:sSub>
            <m:sSubPr/>
            <m:e>
              <m:r>
                <m:rPr/>
                <m:t>k</m:t>
              </m:r>
            </m:e>
            <m:sub>
              <m:r>
                <m:rPr/>
                <m:t>2x</m:t>
              </m:r>
            </m:sub>
          </m:sSub>
          <m:r>
            <m:rPr/>
            <m:t>x</m:t>
          </m:r>
          <m:r>
            <m:rPr>
              <m:sty m:val="p"/>
            </m:rPr>
            <m:t>,</m:t>
          </m:r>
        </m:oMath>
      </m:oMathPara>
    </w:p>
    <w:p w14:paraId="653CAED7">
      <w:pPr>
        <w:pStyle w:val="3"/>
        <w:pageBreakBefore w:val="0"/>
        <w:widowControl/>
        <w:kinsoku/>
        <w:wordWrap/>
        <w:overflowPunct/>
        <w:topLinePunct w:val="0"/>
        <w:autoSpaceDE/>
        <w:autoSpaceDN/>
        <w:bidi w:val="0"/>
        <w:adjustRightInd/>
        <w:snapToGrid/>
        <w:spacing w:line="312" w:lineRule="auto"/>
        <w:textAlignment w:val="auto"/>
      </w:pPr>
      <w:r>
        <w:rPr>
          <w:rFonts w:hint="eastAsia"/>
        </w:rPr>
        <w:t>求导得：</w:t>
      </w:r>
    </w:p>
    <w:p w14:paraId="32F91E74">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t>k</m:t>
              </m:r>
            </m:e>
            <m:sub>
              <m:r>
                <m:rPr/>
                <m:t>1x</m:t>
              </m:r>
            </m:sub>
          </m:sSub>
          <m:r>
            <m:rPr>
              <m:sty m:val="p"/>
            </m:rPr>
            <m:t>+</m:t>
          </m:r>
          <m:f>
            <m:fPr/>
            <m:num>
              <m:r>
                <m:rPr/>
                <m:t>d</m:t>
              </m:r>
              <m:r>
                <m:rPr>
                  <m:sty m:val="p"/>
                </m:rPr>
                <m:t>Φ</m:t>
              </m:r>
            </m:num>
            <m:den>
              <m:r>
                <m:rPr/>
                <m:t>dx</m:t>
              </m:r>
            </m:den>
          </m:f>
          <m:r>
            <m:rPr>
              <m:sty m:val="p"/>
            </m:rPr>
            <m:t>=</m:t>
          </m:r>
          <m:sSub>
            <m:sSubPr/>
            <m:e>
              <m:r>
                <m:rPr/>
                <m:t>k</m:t>
              </m:r>
            </m:e>
            <m:sub>
              <m:r>
                <m:rPr/>
                <m:t>2x</m:t>
              </m:r>
            </m:sub>
          </m:sSub>
          <m:r>
            <m:rPr>
              <m:sty m:val="p"/>
            </m:rPr>
            <m:t>.</m:t>
          </m:r>
        </m:oMath>
      </m:oMathPara>
    </w:p>
    <w:p w14:paraId="2CA5FEFB">
      <w:pPr>
        <w:pStyle w:val="3"/>
        <w:pageBreakBefore w:val="0"/>
        <w:widowControl/>
        <w:kinsoku/>
        <w:wordWrap/>
        <w:overflowPunct/>
        <w:topLinePunct w:val="0"/>
        <w:autoSpaceDE/>
        <w:autoSpaceDN/>
        <w:bidi w:val="0"/>
        <w:adjustRightInd/>
        <w:snapToGrid/>
        <w:spacing w:line="312" w:lineRule="auto"/>
        <w:textAlignment w:val="auto"/>
      </w:pPr>
      <w:r>
        <w:rPr>
          <w:rFonts w:hint="eastAsia"/>
        </w:rPr>
        <w:t>代入波矢定义</w:t>
      </w:r>
      <w:r>
        <w:t xml:space="preserve"> </w:t>
      </w:r>
      <m:oMath>
        <m:sSub>
          <m:sSubPr/>
          <m:e>
            <m:r>
              <m:rPr/>
              <m:t>k</m:t>
            </m:r>
          </m:e>
          <m:sub>
            <m:r>
              <m:rPr/>
              <m:t>x</m:t>
            </m:r>
          </m:sub>
        </m:sSub>
        <m:r>
          <m:rPr>
            <m:sty m:val="p"/>
          </m:rPr>
          <m:t>=</m:t>
        </m:r>
        <m:f>
          <m:fPr/>
          <m:num>
            <m:r>
              <m:rPr/>
              <m:t>2π</m:t>
            </m:r>
          </m:num>
          <m:den>
            <m:r>
              <m:rPr/>
              <m:t>λ</m:t>
            </m:r>
          </m:den>
        </m:f>
        <m:r>
          <m:rPr/>
          <m:t>n</m:t>
        </m:r>
        <m:r>
          <m:rPr>
            <m:sty m:val="p"/>
          </m:rPr>
          <m:t>sin</m:t>
        </m:r>
        <m:r>
          <m:rPr/>
          <m:t>θ</m:t>
        </m:r>
      </m:oMath>
      <w:r>
        <w:rPr>
          <w:rFonts w:hint="eastAsia"/>
        </w:rPr>
        <w:t>，即得广义斯涅尔定律[1]：</w:t>
      </w:r>
    </w:p>
    <w:p w14:paraId="48023E93">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t>n</m:t>
              </m:r>
            </m:e>
            <m:sub>
              <m:r>
                <m:rPr/>
                <m:t>2</m:t>
              </m:r>
            </m:sub>
          </m:sSub>
          <m:r>
            <m:rPr>
              <m:sty m:val="p"/>
            </m:rPr>
            <m:t>sin</m:t>
          </m:r>
          <m:sSub>
            <m:sSubPr/>
            <m:e>
              <m:r>
                <m:rPr/>
                <m:t>θ</m:t>
              </m:r>
            </m:e>
            <m:sub>
              <m:r>
                <m:rPr/>
                <m:t>2</m:t>
              </m:r>
            </m:sub>
          </m:sSub>
          <m:r>
            <m:rPr>
              <m:sty m:val="p"/>
            </m:rPr>
            <m:t>−</m:t>
          </m:r>
          <m:sSub>
            <m:sSubPr/>
            <m:e>
              <m:r>
                <m:rPr/>
                <m:t>n</m:t>
              </m:r>
            </m:e>
            <m:sub>
              <m:r>
                <m:rPr/>
                <m:t>1</m:t>
              </m:r>
            </m:sub>
          </m:sSub>
          <m:r>
            <m:rPr>
              <m:sty m:val="p"/>
            </m:rPr>
            <m:t>sin</m:t>
          </m:r>
          <m:sSub>
            <m:sSubPr/>
            <m:e>
              <m:r>
                <m:rPr/>
                <m:t>θ</m:t>
              </m:r>
            </m:e>
            <m:sub>
              <m:r>
                <m:rPr/>
                <m:t>1</m:t>
              </m:r>
            </m:sub>
          </m:sSub>
          <m:r>
            <m:rPr>
              <m:sty m:val="p"/>
            </m:rPr>
            <m:t>=</m:t>
          </m:r>
          <m:f>
            <m:fPr/>
            <m:num>
              <m:r>
                <m:rPr/>
                <m:t>λ</m:t>
              </m:r>
            </m:num>
            <m:den>
              <m:r>
                <m:rPr/>
                <m:t>2π</m:t>
              </m:r>
            </m:den>
          </m:f>
          <m:f>
            <m:fPr/>
            <m:num>
              <m:r>
                <m:rPr/>
                <m:t>d</m:t>
              </m:r>
              <m:r>
                <m:rPr>
                  <m:sty m:val="p"/>
                </m:rPr>
                <m:t>Φ</m:t>
              </m:r>
            </m:num>
            <m:den>
              <m:r>
                <m:rPr/>
                <m:t>dx</m:t>
              </m:r>
            </m:den>
          </m:f>
          <m:r>
            <m:rPr>
              <m:sty m:val="p"/>
            </m:rPr>
            <m:t>.</m:t>
          </m:r>
        </m:oMath>
      </m:oMathPara>
    </w:p>
    <w:p w14:paraId="1D7FE049">
      <w:pPr>
        <w:pStyle w:val="3"/>
        <w:pageBreakBefore w:val="0"/>
        <w:widowControl/>
        <w:kinsoku/>
        <w:wordWrap/>
        <w:overflowPunct/>
        <w:topLinePunct w:val="0"/>
        <w:autoSpaceDE/>
        <w:autoSpaceDN/>
        <w:bidi w:val="0"/>
        <w:adjustRightInd/>
        <w:snapToGrid/>
        <w:spacing w:line="312" w:lineRule="auto"/>
        <w:textAlignment w:val="auto"/>
      </w:pPr>
      <w:r>
        <w:rPr>
          <w:rFonts w:hint="eastAsia"/>
        </w:rPr>
        <w:t>此式表明，超构表面可通过有意的相位梯度</w:t>
      </w:r>
      <w:r>
        <w:t xml:space="preserve"> </w:t>
      </w:r>
      <m:oMath>
        <m:f>
          <m:fPr/>
          <m:num>
            <m:r>
              <m:rPr/>
              <m:t>d</m:t>
            </m:r>
            <m:r>
              <m:rPr>
                <m:sty m:val="p"/>
              </m:rPr>
              <m:t>Φ</m:t>
            </m:r>
          </m:num>
          <m:den>
            <m:r>
              <m:rPr/>
              <m:t>dx</m:t>
            </m:r>
          </m:den>
        </m:f>
      </m:oMath>
      <w:r>
        <w:t xml:space="preserve"> </w:t>
      </w:r>
      <w:r>
        <w:rPr>
          <w:rFonts w:hint="eastAsia"/>
        </w:rPr>
        <w:t>注入额外横向动量，实现任意角度的反常折射。</w:t>
      </w:r>
    </w:p>
    <w:p w14:paraId="7BC16EE9">
      <w:pPr>
        <w:pStyle w:val="3"/>
        <w:pageBreakBefore w:val="0"/>
        <w:widowControl/>
        <w:kinsoku/>
        <w:wordWrap/>
        <w:overflowPunct/>
        <w:topLinePunct w:val="0"/>
        <w:autoSpaceDE/>
        <w:autoSpaceDN/>
        <w:bidi w:val="0"/>
        <w:adjustRightInd/>
        <w:snapToGrid/>
        <w:spacing w:line="312" w:lineRule="auto"/>
        <w:textAlignment w:val="auto"/>
      </w:pPr>
      <w:r>
        <w:rPr>
          <w:rFonts w:hint="eastAsia"/>
        </w:rPr>
        <w:t>超构表面设计的核心难题是</w:t>
      </w:r>
      <w:r>
        <w:rPr>
          <w:rFonts w:hint="eastAsia"/>
          <w:b/>
          <w:bCs/>
        </w:rPr>
        <w:t>逆向设计</w:t>
      </w:r>
      <w:r>
        <w:rPr>
          <w:rFonts w:hint="eastAsia"/>
        </w:rPr>
        <w:t>：给定目标电磁响应（如特定相位分布），反求最优单元几何参数。该逆问题具有本质的非唯一性（多个结构可产生相同相位）、高维度与高度非线性，传统依赖FDTD、RCWA等全波仿真结合遗传算法的参数扫描方法计算代价极其高昂。近年来，深度学习被引入纳米光子学逆设计领域[2-4]，通过学习结构–响应间的非线性映射构建代理模型，能够将设计时间从数小时压缩至毫秒级。</w:t>
      </w:r>
    </w:p>
    <w:p w14:paraId="2604971C">
      <w:pPr>
        <w:pStyle w:val="3"/>
        <w:pageBreakBefore w:val="0"/>
        <w:widowControl/>
        <w:kinsoku/>
        <w:wordWrap/>
        <w:overflowPunct/>
        <w:topLinePunct w:val="0"/>
        <w:autoSpaceDE/>
        <w:autoSpaceDN/>
        <w:bidi w:val="0"/>
        <w:adjustRightInd/>
        <w:snapToGrid/>
        <w:spacing w:line="312" w:lineRule="auto"/>
        <w:textAlignment w:val="auto"/>
      </w:pPr>
      <w:r>
        <w:rPr>
          <w:rFonts w:hint="eastAsia"/>
        </w:rPr>
        <w:t>本文提出一种物理驱动的深度学习逆向设计框架：利用等效介质理论与Fabry–Pérot共振模型生成物理自洽的训练数据，采用Tandem串联网络将正向物理约束嵌入逆问题求解，以解决多解性并保证输出结构的物理可实现性。本研究选取1550</w:t>
      </w:r>
      <w:r>
        <w:t xml:space="preserve"> </w:t>
      </w:r>
      <w:r>
        <w:rPr>
          <w:rFonts w:hint="eastAsia"/>
        </w:rPr>
        <w:t>nm作为工作波长（光纤通信C波段低损耗窗口），硅–二氧化硅全介质材料体系与CMOS工艺兼容，且在此波段已有充分的高效介质超构表面验证[5,6]。目标折射角</w:t>
      </w:r>
      <w:r>
        <w:t xml:space="preserve"> </w:t>
      </w:r>
      <m:oMath>
        <m:sSub>
          <m:sSubPr/>
          <m:e>
            <m:r>
              <m:rPr/>
              <m:t>θ</m:t>
            </m:r>
          </m:e>
          <m:sub>
            <m:r>
              <m:rPr/>
              <m:t>t</m:t>
            </m:r>
          </m:sub>
        </m:sSub>
        <m:r>
          <m:rPr>
            <m:sty m:val="p"/>
          </m:rPr>
          <m:t>=</m:t>
        </m:r>
        <m:sSup>
          <m:sSupPr/>
          <m:e>
            <m:r>
              <m:rPr/>
              <m:t>30</m:t>
            </m:r>
          </m:e>
          <m:sup>
            <m:r>
              <m:rPr>
                <m:sty m:val="p"/>
              </m:rPr>
              <m:t>∘</m:t>
            </m:r>
          </m:sup>
        </m:sSup>
      </m:oMath>
      <w:r>
        <w:t xml:space="preserve"> </w:t>
      </w:r>
      <w:r>
        <w:rPr>
          <w:rFonts w:hint="eastAsia"/>
        </w:rPr>
        <w:t>的选择满足奈奎斯特采样条件（单元周期600</w:t>
      </w:r>
      <w:r>
        <w:t xml:space="preserve"> </w:t>
      </w:r>
      <w:r>
        <w:rPr>
          <w:rFonts w:hint="eastAsia"/>
        </w:rPr>
        <w:t>nm下相邻相位差约70°），同时也是领域内通用的基准测试角度，便于与现有工作对比。</w:t>
      </w:r>
    </w:p>
    <w:p w14:paraId="018E18B9">
      <w:pPr>
        <w:pageBreakBefore w:val="0"/>
        <w:widowControl/>
        <w:kinsoku/>
        <w:wordWrap/>
        <w:overflowPunct/>
        <w:topLinePunct w:val="0"/>
        <w:autoSpaceDE/>
        <w:autoSpaceDN/>
        <w:bidi w:val="0"/>
        <w:adjustRightInd/>
        <w:snapToGrid/>
        <w:spacing w:line="312" w:lineRule="auto"/>
        <w:textAlignment w:val="auto"/>
      </w:pPr>
      <w:r>
        <w:pict>
          <v:rect id="_x0000_i1026" o:spt="1" style="height:1.5pt;width:0pt;" coordsize="21600,21600" o:hr="t" o:hrstd="t" o:hralign="center">
            <v:path/>
            <v:fill focussize="0,0"/>
            <v:stroke/>
            <v:imagedata o:title=""/>
            <o:lock v:ext="edit"/>
            <w10:wrap type="none"/>
            <w10:anchorlock/>
          </v:rect>
        </w:pict>
      </w:r>
    </w:p>
    <w:bookmarkEnd w:id="2"/>
    <w:p w14:paraId="0CE884CF">
      <w:pPr>
        <w:pStyle w:val="4"/>
        <w:pageBreakBefore w:val="0"/>
        <w:widowControl/>
        <w:kinsoku/>
        <w:wordWrap/>
        <w:overflowPunct/>
        <w:topLinePunct w:val="0"/>
        <w:autoSpaceDE/>
        <w:autoSpaceDN/>
        <w:bidi w:val="0"/>
        <w:adjustRightInd/>
        <w:snapToGrid/>
        <w:spacing w:line="312" w:lineRule="auto"/>
        <w:textAlignment w:val="auto"/>
      </w:pPr>
      <w:bookmarkStart w:id="3" w:name="物理模型与数据生成"/>
      <w:r>
        <w:t xml:space="preserve">2. </w:t>
      </w:r>
      <w:r>
        <w:rPr>
          <w:rFonts w:hint="eastAsia"/>
        </w:rPr>
        <w:t>物理模型与数据生成</w:t>
      </w:r>
    </w:p>
    <w:p w14:paraId="777E4B85">
      <w:pPr>
        <w:pStyle w:val="5"/>
        <w:pageBreakBefore w:val="0"/>
        <w:widowControl/>
        <w:kinsoku/>
        <w:wordWrap/>
        <w:overflowPunct/>
        <w:topLinePunct w:val="0"/>
        <w:autoSpaceDE/>
        <w:autoSpaceDN/>
        <w:bidi w:val="0"/>
        <w:adjustRightInd/>
        <w:snapToGrid/>
        <w:spacing w:line="312" w:lineRule="auto"/>
        <w:textAlignment w:val="auto"/>
      </w:pPr>
      <w:bookmarkStart w:id="4" w:name="单元构型与工作条件"/>
      <w:r>
        <w:t xml:space="preserve">2.1 </w:t>
      </w:r>
      <w:r>
        <w:rPr>
          <w:rFonts w:hint="eastAsia"/>
        </w:rPr>
        <w:t>单元构型与工作条件</w:t>
      </w:r>
    </w:p>
    <w:p w14:paraId="670E3A61">
      <w:pPr>
        <w:pStyle w:val="3"/>
        <w:pageBreakBefore w:val="0"/>
        <w:widowControl/>
        <w:kinsoku/>
        <w:wordWrap/>
        <w:overflowPunct/>
        <w:topLinePunct w:val="0"/>
        <w:autoSpaceDE/>
        <w:autoSpaceDN/>
        <w:bidi w:val="0"/>
        <w:adjustRightInd/>
        <w:snapToGrid/>
        <w:spacing w:line="312" w:lineRule="auto"/>
        <w:textAlignment w:val="auto"/>
      </w:pPr>
      <w:r>
        <w:rPr>
          <w:rFonts w:hint="eastAsia"/>
        </w:rPr>
        <w:t>本研究采用透射型全介质超构表面单元。单个元胞由沉积在二氧化硅（SiO₂）基底上的矩形硅（Si）纳米柱构成，如图1示意。入射波为正入射TE平面波（电场平行于纳米柱长轴），工作波长</w:t>
      </w:r>
      <w:r>
        <w:t xml:space="preserve"> </w:t>
      </w:r>
      <m:oMath>
        <m:sSub>
          <m:sSubPr/>
          <m:e>
            <m:r>
              <m:rPr/>
              <m:t>λ</m:t>
            </m:r>
          </m:e>
          <m:sub>
            <m:r>
              <m:rPr/>
              <m:t>0</m:t>
            </m:r>
          </m:sub>
        </m:sSub>
        <m:r>
          <m:rPr>
            <m:sty m:val="p"/>
          </m:rPr>
          <m:t>=</m:t>
        </m:r>
        <m:r>
          <m:rPr/>
          <m:t>1550</m:t>
        </m:r>
        <m:r>
          <m:rPr>
            <m:nor/>
            <m:sty m:val="p"/>
          </m:rPr>
          <w:rPr>
            <w:b w:val="0"/>
            <w:i w:val="0"/>
          </w:rPr>
          <m:t>nm</m:t>
        </m:r>
      </m:oMath>
      <w:r>
        <w:rPr>
          <w:rFonts w:hint="eastAsia"/>
        </w:rPr>
        <w:t>。纳米柱高度</w:t>
      </w:r>
      <w:r>
        <w:t xml:space="preserve"> </w:t>
      </w:r>
      <m:oMath>
        <m:r>
          <m:rPr/>
          <m:t>H</m:t>
        </m:r>
        <m:r>
          <m:rPr>
            <m:sty m:val="p"/>
          </m:rPr>
          <m:t>=</m:t>
        </m:r>
        <m:r>
          <m:rPr/>
          <m:t>900</m:t>
        </m:r>
        <m:r>
          <m:rPr>
            <m:nor/>
            <m:sty m:val="p"/>
          </m:rPr>
          <w:rPr>
            <w:b w:val="0"/>
            <w:i w:val="0"/>
          </w:rPr>
          <m:t>nm</m:t>
        </m:r>
      </m:oMath>
      <w:r>
        <w:t xml:space="preserve"> </w:t>
      </w:r>
      <w:r>
        <w:rPr>
          <w:rFonts w:hint="eastAsia"/>
        </w:rPr>
        <w:t>固定，该取值由Arbabi等[6]对高对比度介质超构表面的系统优化导出，可在给定材料折射率对比度下实现0至</w:t>
      </w:r>
      <m:oMath>
        <m:r>
          <m:rPr/>
          <m:t>2π</m:t>
        </m:r>
      </m:oMath>
      <w:r>
        <w:rPr>
          <w:rFonts w:hint="eastAsia"/>
        </w:rPr>
        <w:t>的完整相位覆盖。所需的结构设计变量为</w:t>
      </w:r>
      <w:r>
        <w:rPr>
          <w:rFonts w:hint="eastAsia"/>
          <w:b/>
          <w:bCs/>
        </w:rPr>
        <w:t>宽度</w:t>
      </w:r>
      <w:r>
        <w:rPr>
          <w:b/>
          <w:bCs/>
        </w:rPr>
        <w:t xml:space="preserve"> </w:t>
      </w:r>
      <m:oMath>
        <m:r>
          <m:rPr/>
          <m:t>w</m:t>
        </m:r>
      </m:oMath>
      <w:r>
        <w:t xml:space="preserve"> </w:t>
      </w:r>
      <w:r>
        <w:rPr>
          <w:rFonts w:hint="eastAsia"/>
        </w:rPr>
        <w:t>与</w:t>
      </w:r>
      <w:r>
        <w:rPr>
          <w:rFonts w:hint="eastAsia"/>
          <w:b/>
          <w:bCs/>
        </w:rPr>
        <w:t>单元周期</w:t>
      </w:r>
      <w:r>
        <w:rPr>
          <w:b/>
          <w:bCs/>
        </w:rPr>
        <w:t xml:space="preserve"> </w:t>
      </w:r>
      <m:oMath>
        <m:r>
          <m:rPr/>
          <m:t>p</m:t>
        </m:r>
      </m:oMath>
      <w:r>
        <w:t>。</w:t>
      </w:r>
    </w:p>
    <w:p w14:paraId="0685C4D5">
      <w:pPr>
        <w:pStyle w:val="6"/>
        <w:pageBreakBefore w:val="0"/>
        <w:widowControl/>
        <w:kinsoku/>
        <w:wordWrap/>
        <w:overflowPunct/>
        <w:topLinePunct w:val="0"/>
        <w:autoSpaceDE/>
        <w:autoSpaceDN/>
        <w:bidi w:val="0"/>
        <w:adjustRightInd/>
        <w:snapToGrid/>
        <w:spacing w:line="312" w:lineRule="auto"/>
        <w:textAlignment w:val="auto"/>
      </w:pPr>
      <w:bookmarkStart w:id="5" w:name="表1-物理模型参数"/>
      <w:r>
        <w:rPr>
          <w:rFonts w:hint="eastAsia"/>
        </w:rPr>
        <w:t>表1</w:t>
      </w:r>
      <w:r>
        <w:t xml:space="preserve"> </w:t>
      </w:r>
      <w:r>
        <w:rPr>
          <w:rFonts w:hint="eastAsia"/>
        </w:rPr>
        <w:t>物理模型参数</w:t>
      </w:r>
    </w:p>
    <w:tbl>
      <w:tblPr>
        <w:tblStyle w:val="41"/>
        <w:tblW w:w="0" w:type="auto"/>
        <w:tblInd w:w="0" w:type="dxa"/>
        <w:tblLayout w:type="autofit"/>
        <w:tblCellMar>
          <w:top w:w="0" w:type="dxa"/>
          <w:left w:w="108" w:type="dxa"/>
          <w:bottom w:w="0" w:type="dxa"/>
          <w:right w:w="108" w:type="dxa"/>
        </w:tblCellMar>
      </w:tblPr>
      <w:tblGrid>
        <w:gridCol w:w="3384"/>
        <w:gridCol w:w="678"/>
        <w:gridCol w:w="1859"/>
        <w:gridCol w:w="2601"/>
      </w:tblGrid>
      <w:tr w14:paraId="76081A43">
        <w:tblPrEx>
          <w:tblCellMar>
            <w:top w:w="0" w:type="dxa"/>
            <w:left w:w="108" w:type="dxa"/>
            <w:bottom w:w="0" w:type="dxa"/>
            <w:right w:w="108" w:type="dxa"/>
          </w:tblCellMar>
        </w:tblPrEx>
        <w:trPr>
          <w:tblHeader/>
        </w:trPr>
        <w:tc>
          <w:p w14:paraId="42793312">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参数类型</w:t>
            </w:r>
          </w:p>
        </w:tc>
        <w:tc>
          <w:p w14:paraId="192E51C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符号</w:t>
            </w:r>
          </w:p>
        </w:tc>
        <w:tc>
          <w:p w14:paraId="1B731913">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取值/范围</w:t>
            </w:r>
          </w:p>
        </w:tc>
        <w:tc>
          <w:p w14:paraId="454FF557">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依据</w:t>
            </w:r>
          </w:p>
        </w:tc>
      </w:tr>
      <w:tr w14:paraId="6BD1F1A6">
        <w:tblPrEx>
          <w:tblCellMar>
            <w:top w:w="0" w:type="dxa"/>
            <w:left w:w="108" w:type="dxa"/>
            <w:bottom w:w="0" w:type="dxa"/>
            <w:right w:w="108" w:type="dxa"/>
          </w:tblCellMar>
        </w:tblPrEx>
        <w:tc>
          <w:p w14:paraId="1BB63000">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b/>
                <w:bCs/>
              </w:rPr>
              <w:t>工作条件</w:t>
            </w:r>
          </w:p>
        </w:tc>
        <w:tc>
          <w:p w14:paraId="3CE8C247">
            <w:pPr>
              <w:pStyle w:val="24"/>
              <w:pageBreakBefore w:val="0"/>
              <w:widowControl/>
              <w:kinsoku/>
              <w:wordWrap/>
              <w:overflowPunct/>
              <w:topLinePunct w:val="0"/>
              <w:autoSpaceDE/>
              <w:autoSpaceDN/>
              <w:bidi w:val="0"/>
              <w:adjustRightInd/>
              <w:snapToGrid/>
              <w:spacing w:line="312" w:lineRule="auto"/>
              <w:textAlignment w:val="auto"/>
            </w:pPr>
          </w:p>
        </w:tc>
        <w:tc>
          <w:p w14:paraId="5E10F34B">
            <w:pPr>
              <w:pStyle w:val="24"/>
              <w:pageBreakBefore w:val="0"/>
              <w:widowControl/>
              <w:kinsoku/>
              <w:wordWrap/>
              <w:overflowPunct/>
              <w:topLinePunct w:val="0"/>
              <w:autoSpaceDE/>
              <w:autoSpaceDN/>
              <w:bidi w:val="0"/>
              <w:adjustRightInd/>
              <w:snapToGrid/>
              <w:spacing w:line="312" w:lineRule="auto"/>
              <w:textAlignment w:val="auto"/>
            </w:pPr>
          </w:p>
        </w:tc>
        <w:tc>
          <w:p w14:paraId="538D587B">
            <w:pPr>
              <w:pStyle w:val="24"/>
              <w:pageBreakBefore w:val="0"/>
              <w:widowControl/>
              <w:kinsoku/>
              <w:wordWrap/>
              <w:overflowPunct/>
              <w:topLinePunct w:val="0"/>
              <w:autoSpaceDE/>
              <w:autoSpaceDN/>
              <w:bidi w:val="0"/>
              <w:adjustRightInd/>
              <w:snapToGrid/>
              <w:spacing w:line="312" w:lineRule="auto"/>
              <w:textAlignment w:val="auto"/>
            </w:pPr>
          </w:p>
        </w:tc>
      </w:tr>
      <w:tr w14:paraId="5221D8D4">
        <w:tblPrEx>
          <w:tblCellMar>
            <w:top w:w="0" w:type="dxa"/>
            <w:left w:w="108" w:type="dxa"/>
            <w:bottom w:w="0" w:type="dxa"/>
            <w:right w:w="108" w:type="dxa"/>
          </w:tblCellMar>
        </w:tblPrEx>
        <w:tc>
          <w:p w14:paraId="7CBFCD5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自由空间波长</w:t>
            </w:r>
          </w:p>
        </w:tc>
        <w:tc>
          <w:p w14:paraId="473059C7">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λ</m:t>
                    </m:r>
                  </m:e>
                  <m:sub>
                    <m:r>
                      <m:rPr/>
                      <m:t>0</m:t>
                    </m:r>
                  </m:sub>
                </m:sSub>
              </m:oMath>
            </m:oMathPara>
          </w:p>
        </w:tc>
        <w:tc>
          <w:p w14:paraId="4E75AD18">
            <w:pPr>
              <w:pStyle w:val="24"/>
              <w:pageBreakBefore w:val="0"/>
              <w:widowControl/>
              <w:kinsoku/>
              <w:wordWrap/>
              <w:overflowPunct/>
              <w:topLinePunct w:val="0"/>
              <w:autoSpaceDE/>
              <w:autoSpaceDN/>
              <w:bidi w:val="0"/>
              <w:adjustRightInd/>
              <w:snapToGrid/>
              <w:spacing w:line="312" w:lineRule="auto"/>
              <w:jc w:val="left"/>
              <w:textAlignment w:val="auto"/>
            </w:pPr>
            <w:r>
              <w:t>1550 nm</w:t>
            </w:r>
          </w:p>
        </w:tc>
        <w:tc>
          <w:p w14:paraId="08EE4294">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通信C波段</w:t>
            </w:r>
          </w:p>
        </w:tc>
      </w:tr>
      <w:tr w14:paraId="461606B3">
        <w:tblPrEx>
          <w:tblCellMar>
            <w:top w:w="0" w:type="dxa"/>
            <w:left w:w="108" w:type="dxa"/>
            <w:bottom w:w="0" w:type="dxa"/>
            <w:right w:w="108" w:type="dxa"/>
          </w:tblCellMar>
        </w:tblPrEx>
        <w:tc>
          <w:p w14:paraId="0554FBC6">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波数</w:t>
            </w:r>
          </w:p>
        </w:tc>
        <w:tc>
          <w:p w14:paraId="315B9E77">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k</m:t>
                    </m:r>
                  </m:e>
                  <m:sub>
                    <m:r>
                      <m:rPr/>
                      <m:t>0</m:t>
                    </m:r>
                  </m:sub>
                </m:sSub>
              </m:oMath>
            </m:oMathPara>
          </w:p>
        </w:tc>
        <w:tc>
          <w:p w14:paraId="63E29F50">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2π</m:t>
                </m:r>
                <m:r>
                  <m:rPr>
                    <m:sty m:val="p"/>
                  </m:rPr>
                  <m:t>/</m:t>
                </m:r>
                <m:sSub>
                  <m:sSubPr/>
                  <m:e>
                    <m:r>
                      <m:rPr/>
                      <m:t>λ</m:t>
                    </m:r>
                  </m:e>
                  <m:sub>
                    <m:r>
                      <m:rPr/>
                      <m:t>0</m:t>
                    </m:r>
                  </m:sub>
                </m:sSub>
              </m:oMath>
            </m:oMathPara>
          </w:p>
        </w:tc>
        <w:tc>
          <w:p w14:paraId="1646A331">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定义</w:t>
            </w:r>
          </w:p>
        </w:tc>
      </w:tr>
      <w:tr w14:paraId="3B526828">
        <w:tblPrEx>
          <w:tblCellMar>
            <w:top w:w="0" w:type="dxa"/>
            <w:left w:w="108" w:type="dxa"/>
            <w:bottom w:w="0" w:type="dxa"/>
            <w:right w:w="108" w:type="dxa"/>
          </w:tblCellMar>
        </w:tblPrEx>
        <w:tc>
          <w:p w14:paraId="563CD032">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入射角</w:t>
            </w:r>
          </w:p>
        </w:tc>
        <w:tc>
          <w:p w14:paraId="0584EFB6">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θ</m:t>
                    </m:r>
                  </m:e>
                  <m:sub>
                    <m:r>
                      <m:rPr/>
                      <m:t>i</m:t>
                    </m:r>
                  </m:sub>
                </m:sSub>
              </m:oMath>
            </m:oMathPara>
          </w:p>
        </w:tc>
        <w:tc>
          <w:p w14:paraId="11886238">
            <w:pPr>
              <w:pStyle w:val="24"/>
              <w:pageBreakBefore w:val="0"/>
              <w:widowControl/>
              <w:kinsoku/>
              <w:wordWrap/>
              <w:overflowPunct/>
              <w:topLinePunct w:val="0"/>
              <w:autoSpaceDE/>
              <w:autoSpaceDN/>
              <w:bidi w:val="0"/>
              <w:adjustRightInd/>
              <w:snapToGrid/>
              <w:spacing w:line="312" w:lineRule="auto"/>
              <w:jc w:val="left"/>
              <w:textAlignment w:val="auto"/>
            </w:pPr>
            <m:oMathPara>
              <m:oMath>
                <m:sSup>
                  <m:sSupPr/>
                  <m:e>
                    <m:r>
                      <m:rPr/>
                      <m:t>0</m:t>
                    </m:r>
                  </m:e>
                  <m:sup>
                    <m:r>
                      <m:rPr>
                        <m:sty m:val="p"/>
                      </m:rPr>
                      <m:t>∘</m:t>
                    </m:r>
                  </m:sup>
                </m:sSup>
              </m:oMath>
            </m:oMathPara>
          </w:p>
        </w:tc>
        <w:tc>
          <w:p w14:paraId="2BBB2C71">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正入射</w:t>
            </w:r>
          </w:p>
        </w:tc>
      </w:tr>
      <w:tr w14:paraId="2EE954CB">
        <w:tblPrEx>
          <w:tblCellMar>
            <w:top w:w="0" w:type="dxa"/>
            <w:left w:w="108" w:type="dxa"/>
            <w:bottom w:w="0" w:type="dxa"/>
            <w:right w:w="108" w:type="dxa"/>
          </w:tblCellMar>
        </w:tblPrEx>
        <w:tc>
          <w:p w14:paraId="639E16CB">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偏振态</w:t>
            </w:r>
          </w:p>
        </w:tc>
        <w:tc>
          <w:p w14:paraId="05465BDE">
            <w:pPr>
              <w:pStyle w:val="24"/>
              <w:pageBreakBefore w:val="0"/>
              <w:widowControl/>
              <w:kinsoku/>
              <w:wordWrap/>
              <w:overflowPunct/>
              <w:topLinePunct w:val="0"/>
              <w:autoSpaceDE/>
              <w:autoSpaceDN/>
              <w:bidi w:val="0"/>
              <w:adjustRightInd/>
              <w:snapToGrid/>
              <w:spacing w:line="312" w:lineRule="auto"/>
              <w:jc w:val="left"/>
              <w:textAlignment w:val="auto"/>
            </w:pPr>
            <w:r>
              <w:t>—</w:t>
            </w:r>
          </w:p>
        </w:tc>
        <w:tc>
          <w:p w14:paraId="4F731390">
            <w:pPr>
              <w:pStyle w:val="24"/>
              <w:pageBreakBefore w:val="0"/>
              <w:widowControl/>
              <w:kinsoku/>
              <w:wordWrap/>
              <w:overflowPunct/>
              <w:topLinePunct w:val="0"/>
              <w:autoSpaceDE/>
              <w:autoSpaceDN/>
              <w:bidi w:val="0"/>
              <w:adjustRightInd/>
              <w:snapToGrid/>
              <w:spacing w:line="312" w:lineRule="auto"/>
              <w:jc w:val="left"/>
              <w:textAlignment w:val="auto"/>
            </w:pPr>
            <w:r>
              <w:t>TE</w:t>
            </w:r>
          </w:p>
        </w:tc>
        <w:tc>
          <w:p w14:paraId="14DCFA79">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简化模型</w:t>
            </w:r>
          </w:p>
        </w:tc>
      </w:tr>
      <w:tr w14:paraId="5EF609A5">
        <w:tblPrEx>
          <w:tblCellMar>
            <w:top w:w="0" w:type="dxa"/>
            <w:left w:w="108" w:type="dxa"/>
            <w:bottom w:w="0" w:type="dxa"/>
            <w:right w:w="108" w:type="dxa"/>
          </w:tblCellMar>
        </w:tblPrEx>
        <w:tc>
          <w:p w14:paraId="5A639B1A">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b/>
                <w:bCs/>
              </w:rPr>
              <w:t>材料光学常数[5]</w:t>
            </w:r>
          </w:p>
        </w:tc>
        <w:tc>
          <w:p w14:paraId="658FF07F">
            <w:pPr>
              <w:pStyle w:val="24"/>
              <w:pageBreakBefore w:val="0"/>
              <w:widowControl/>
              <w:kinsoku/>
              <w:wordWrap/>
              <w:overflowPunct/>
              <w:topLinePunct w:val="0"/>
              <w:autoSpaceDE/>
              <w:autoSpaceDN/>
              <w:bidi w:val="0"/>
              <w:adjustRightInd/>
              <w:snapToGrid/>
              <w:spacing w:line="312" w:lineRule="auto"/>
              <w:textAlignment w:val="auto"/>
            </w:pPr>
          </w:p>
        </w:tc>
        <w:tc>
          <w:p w14:paraId="5C8D444A">
            <w:pPr>
              <w:pStyle w:val="24"/>
              <w:pageBreakBefore w:val="0"/>
              <w:widowControl/>
              <w:kinsoku/>
              <w:wordWrap/>
              <w:overflowPunct/>
              <w:topLinePunct w:val="0"/>
              <w:autoSpaceDE/>
              <w:autoSpaceDN/>
              <w:bidi w:val="0"/>
              <w:adjustRightInd/>
              <w:snapToGrid/>
              <w:spacing w:line="312" w:lineRule="auto"/>
              <w:textAlignment w:val="auto"/>
            </w:pPr>
          </w:p>
        </w:tc>
        <w:tc>
          <w:p w14:paraId="2EBDBD96">
            <w:pPr>
              <w:pStyle w:val="24"/>
              <w:pageBreakBefore w:val="0"/>
              <w:widowControl/>
              <w:kinsoku/>
              <w:wordWrap/>
              <w:overflowPunct/>
              <w:topLinePunct w:val="0"/>
              <w:autoSpaceDE/>
              <w:autoSpaceDN/>
              <w:bidi w:val="0"/>
              <w:adjustRightInd/>
              <w:snapToGrid/>
              <w:spacing w:line="312" w:lineRule="auto"/>
              <w:textAlignment w:val="auto"/>
            </w:pPr>
          </w:p>
        </w:tc>
      </w:tr>
      <w:tr w14:paraId="6F90C942">
        <w:tblPrEx>
          <w:tblCellMar>
            <w:top w:w="0" w:type="dxa"/>
            <w:left w:w="108" w:type="dxa"/>
            <w:bottom w:w="0" w:type="dxa"/>
            <w:right w:w="108" w:type="dxa"/>
          </w:tblCellMar>
        </w:tblPrEx>
        <w:tc>
          <w:p w14:paraId="3CE767B9">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硅折射率</w:t>
            </w:r>
          </w:p>
        </w:tc>
        <w:tc>
          <w:p w14:paraId="7590003C">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n</m:t>
                    </m:r>
                  </m:e>
                  <m:sub>
                    <m:r>
                      <m:rPr>
                        <m:nor/>
                        <m:sty m:val="p"/>
                      </m:rPr>
                      <w:rPr>
                        <w:b w:val="0"/>
                        <w:i w:val="0"/>
                      </w:rPr>
                      <m:t>Si</m:t>
                    </m:r>
                  </m:sub>
                </m:sSub>
              </m:oMath>
            </m:oMathPara>
          </w:p>
        </w:tc>
        <w:tc>
          <w:p w14:paraId="2A4EF483">
            <w:pPr>
              <w:pStyle w:val="24"/>
              <w:pageBreakBefore w:val="0"/>
              <w:widowControl/>
              <w:kinsoku/>
              <w:wordWrap/>
              <w:overflowPunct/>
              <w:topLinePunct w:val="0"/>
              <w:autoSpaceDE/>
              <w:autoSpaceDN/>
              <w:bidi w:val="0"/>
              <w:adjustRightInd/>
              <w:snapToGrid/>
              <w:spacing w:line="312" w:lineRule="auto"/>
              <w:jc w:val="left"/>
              <w:textAlignment w:val="auto"/>
            </w:pPr>
            <w:r>
              <w:t>3.4777</w:t>
            </w:r>
          </w:p>
        </w:tc>
        <w:tc>
          <w:p w14:paraId="3DE385EB">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Palik手册</w:t>
            </w:r>
          </w:p>
        </w:tc>
      </w:tr>
      <w:tr w14:paraId="0C4AEA86">
        <w:tblPrEx>
          <w:tblCellMar>
            <w:top w:w="0" w:type="dxa"/>
            <w:left w:w="108" w:type="dxa"/>
            <w:bottom w:w="0" w:type="dxa"/>
            <w:right w:w="108" w:type="dxa"/>
          </w:tblCellMar>
        </w:tblPrEx>
        <w:tc>
          <w:p w14:paraId="5C7158D4">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SiO₂折射率</w:t>
            </w:r>
          </w:p>
        </w:tc>
        <w:tc>
          <w:p w14:paraId="77C49ED8">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n</m:t>
                    </m:r>
                  </m:e>
                  <m:sub>
                    <m:r>
                      <m:rPr>
                        <m:nor/>
                        <m:sty m:val="p"/>
                      </m:rPr>
                      <w:rPr>
                        <w:b w:val="0"/>
                        <w:i w:val="0"/>
                      </w:rPr>
                      <m:t>sub</m:t>
                    </m:r>
                  </m:sub>
                </m:sSub>
              </m:oMath>
            </m:oMathPara>
          </w:p>
        </w:tc>
        <w:tc>
          <w:p w14:paraId="3BDCC81C">
            <w:pPr>
              <w:pStyle w:val="24"/>
              <w:pageBreakBefore w:val="0"/>
              <w:widowControl/>
              <w:kinsoku/>
              <w:wordWrap/>
              <w:overflowPunct/>
              <w:topLinePunct w:val="0"/>
              <w:autoSpaceDE/>
              <w:autoSpaceDN/>
              <w:bidi w:val="0"/>
              <w:adjustRightInd/>
              <w:snapToGrid/>
              <w:spacing w:line="312" w:lineRule="auto"/>
              <w:jc w:val="left"/>
              <w:textAlignment w:val="auto"/>
            </w:pPr>
            <w:r>
              <w:t>1.444</w:t>
            </w:r>
          </w:p>
        </w:tc>
        <w:tc>
          <w:p w14:paraId="7CC0D2EA">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Palik手册</w:t>
            </w:r>
          </w:p>
        </w:tc>
      </w:tr>
      <w:tr w14:paraId="7146DC28">
        <w:tblPrEx>
          <w:tblCellMar>
            <w:top w:w="0" w:type="dxa"/>
            <w:left w:w="108" w:type="dxa"/>
            <w:bottom w:w="0" w:type="dxa"/>
            <w:right w:w="108" w:type="dxa"/>
          </w:tblCellMar>
        </w:tblPrEx>
        <w:tc>
          <w:p w14:paraId="482FDDCF">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空气折射率</w:t>
            </w:r>
          </w:p>
        </w:tc>
        <w:tc>
          <w:p w14:paraId="30BAE68F">
            <w:pPr>
              <w:pStyle w:val="24"/>
              <w:pageBreakBefore w:val="0"/>
              <w:widowControl/>
              <w:kinsoku/>
              <w:wordWrap/>
              <w:overflowPunct/>
              <w:topLinePunct w:val="0"/>
              <w:autoSpaceDE/>
              <w:autoSpaceDN/>
              <w:bidi w:val="0"/>
              <w:adjustRightInd/>
              <w:snapToGrid/>
              <w:spacing w:line="312" w:lineRule="auto"/>
              <w:jc w:val="left"/>
              <w:textAlignment w:val="auto"/>
            </w:pPr>
            <m:oMathPara>
              <m:oMath>
                <m:sSub>
                  <m:sSubPr/>
                  <m:e>
                    <m:r>
                      <m:rPr/>
                      <m:t>n</m:t>
                    </m:r>
                  </m:e>
                  <m:sub>
                    <m:r>
                      <m:rPr>
                        <m:nor/>
                        <m:sty m:val="p"/>
                      </m:rPr>
                      <w:rPr>
                        <w:b w:val="0"/>
                        <w:i w:val="0"/>
                      </w:rPr>
                      <m:t>air</m:t>
                    </m:r>
                  </m:sub>
                </m:sSub>
              </m:oMath>
            </m:oMathPara>
          </w:p>
        </w:tc>
        <w:tc>
          <w:p w14:paraId="1B8A649E">
            <w:pPr>
              <w:pStyle w:val="24"/>
              <w:pageBreakBefore w:val="0"/>
              <w:widowControl/>
              <w:kinsoku/>
              <w:wordWrap/>
              <w:overflowPunct/>
              <w:topLinePunct w:val="0"/>
              <w:autoSpaceDE/>
              <w:autoSpaceDN/>
              <w:bidi w:val="0"/>
              <w:adjustRightInd/>
              <w:snapToGrid/>
              <w:spacing w:line="312" w:lineRule="auto"/>
              <w:jc w:val="left"/>
              <w:textAlignment w:val="auto"/>
            </w:pPr>
            <w:r>
              <w:t>1.0</w:t>
            </w:r>
          </w:p>
        </w:tc>
        <w:tc>
          <w:p w14:paraId="494B6BDA">
            <w:pPr>
              <w:pStyle w:val="24"/>
              <w:pageBreakBefore w:val="0"/>
              <w:widowControl/>
              <w:kinsoku/>
              <w:wordWrap/>
              <w:overflowPunct/>
              <w:topLinePunct w:val="0"/>
              <w:autoSpaceDE/>
              <w:autoSpaceDN/>
              <w:bidi w:val="0"/>
              <w:adjustRightInd/>
              <w:snapToGrid/>
              <w:spacing w:line="312" w:lineRule="auto"/>
              <w:jc w:val="left"/>
              <w:textAlignment w:val="auto"/>
            </w:pPr>
            <w:r>
              <w:t>—</w:t>
            </w:r>
          </w:p>
        </w:tc>
      </w:tr>
      <w:tr w14:paraId="3BFD1CB3">
        <w:tblPrEx>
          <w:tblCellMar>
            <w:top w:w="0" w:type="dxa"/>
            <w:left w:w="108" w:type="dxa"/>
            <w:bottom w:w="0" w:type="dxa"/>
            <w:right w:w="108" w:type="dxa"/>
          </w:tblCellMar>
        </w:tblPrEx>
        <w:tc>
          <w:p w14:paraId="55BB8FF9">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b/>
                <w:bCs/>
              </w:rPr>
              <w:t>结构设计变量（数据集输入</w:t>
            </w:r>
            <w:r>
              <w:rPr>
                <w:b/>
                <w:bCs/>
              </w:rPr>
              <w:t xml:space="preserve"> </w:t>
            </w:r>
            <m:oMath>
              <m:r>
                <m:rPr>
                  <m:sty m:val="b"/>
                </m:rPr>
                <m:t>x</m:t>
              </m:r>
            </m:oMath>
            <w:r>
              <w:rPr>
                <w:rFonts w:hint="eastAsia"/>
                <w:b/>
                <w:bCs/>
              </w:rPr>
              <w:t>）</w:t>
            </w:r>
          </w:p>
        </w:tc>
        <w:tc>
          <w:p w14:paraId="3879AFFA">
            <w:pPr>
              <w:pStyle w:val="24"/>
              <w:pageBreakBefore w:val="0"/>
              <w:widowControl/>
              <w:kinsoku/>
              <w:wordWrap/>
              <w:overflowPunct/>
              <w:topLinePunct w:val="0"/>
              <w:autoSpaceDE/>
              <w:autoSpaceDN/>
              <w:bidi w:val="0"/>
              <w:adjustRightInd/>
              <w:snapToGrid/>
              <w:spacing w:line="312" w:lineRule="auto"/>
              <w:textAlignment w:val="auto"/>
            </w:pPr>
          </w:p>
        </w:tc>
        <w:tc>
          <w:p w14:paraId="0F79B68D">
            <w:pPr>
              <w:pStyle w:val="24"/>
              <w:pageBreakBefore w:val="0"/>
              <w:widowControl/>
              <w:kinsoku/>
              <w:wordWrap/>
              <w:overflowPunct/>
              <w:topLinePunct w:val="0"/>
              <w:autoSpaceDE/>
              <w:autoSpaceDN/>
              <w:bidi w:val="0"/>
              <w:adjustRightInd/>
              <w:snapToGrid/>
              <w:spacing w:line="312" w:lineRule="auto"/>
              <w:textAlignment w:val="auto"/>
            </w:pPr>
          </w:p>
        </w:tc>
        <w:tc>
          <w:p w14:paraId="58A33D11">
            <w:pPr>
              <w:pStyle w:val="24"/>
              <w:pageBreakBefore w:val="0"/>
              <w:widowControl/>
              <w:kinsoku/>
              <w:wordWrap/>
              <w:overflowPunct/>
              <w:topLinePunct w:val="0"/>
              <w:autoSpaceDE/>
              <w:autoSpaceDN/>
              <w:bidi w:val="0"/>
              <w:adjustRightInd/>
              <w:snapToGrid/>
              <w:spacing w:line="312" w:lineRule="auto"/>
              <w:textAlignment w:val="auto"/>
            </w:pPr>
          </w:p>
        </w:tc>
      </w:tr>
      <w:tr w14:paraId="4088F2E3">
        <w:tblPrEx>
          <w:tblCellMar>
            <w:top w:w="0" w:type="dxa"/>
            <w:left w:w="108" w:type="dxa"/>
            <w:bottom w:w="0" w:type="dxa"/>
            <w:right w:w="108" w:type="dxa"/>
          </w:tblCellMar>
        </w:tblPrEx>
        <w:tc>
          <w:p w14:paraId="784A0CA6">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纳米柱宽度</w:t>
            </w:r>
          </w:p>
        </w:tc>
        <w:tc>
          <w:p w14:paraId="6D6CB5F0">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w</m:t>
                </m:r>
              </m:oMath>
            </m:oMathPara>
          </w:p>
        </w:tc>
        <w:tc>
          <w:p w14:paraId="10ECE7A2">
            <w:pPr>
              <w:pStyle w:val="24"/>
              <w:pageBreakBefore w:val="0"/>
              <w:widowControl/>
              <w:kinsoku/>
              <w:wordWrap/>
              <w:overflowPunct/>
              <w:topLinePunct w:val="0"/>
              <w:autoSpaceDE/>
              <w:autoSpaceDN/>
              <w:bidi w:val="0"/>
              <w:adjustRightInd/>
              <w:snapToGrid/>
              <w:spacing w:line="312" w:lineRule="auto"/>
              <w:jc w:val="left"/>
              <w:textAlignment w:val="auto"/>
            </w:pPr>
            <w:r>
              <w:t>80–500 nm</w:t>
            </w:r>
          </w:p>
        </w:tc>
        <w:tc>
          <w:p w14:paraId="02D0FF49">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单模传输条件</w:t>
            </w:r>
          </w:p>
        </w:tc>
      </w:tr>
      <w:tr w14:paraId="3DCFC352">
        <w:tblPrEx>
          <w:tblCellMar>
            <w:top w:w="0" w:type="dxa"/>
            <w:left w:w="108" w:type="dxa"/>
            <w:bottom w:w="0" w:type="dxa"/>
            <w:right w:w="108" w:type="dxa"/>
          </w:tblCellMar>
        </w:tblPrEx>
        <w:tc>
          <w:p w14:paraId="42094F55">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单元周期</w:t>
            </w:r>
          </w:p>
        </w:tc>
        <w:tc>
          <w:p w14:paraId="4254522A">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p</m:t>
                </m:r>
              </m:oMath>
            </m:oMathPara>
          </w:p>
        </w:tc>
        <w:tc>
          <w:p w14:paraId="1D90036F">
            <w:pPr>
              <w:pStyle w:val="24"/>
              <w:pageBreakBefore w:val="0"/>
              <w:widowControl/>
              <w:kinsoku/>
              <w:wordWrap/>
              <w:overflowPunct/>
              <w:topLinePunct w:val="0"/>
              <w:autoSpaceDE/>
              <w:autoSpaceDN/>
              <w:bidi w:val="0"/>
              <w:adjustRightInd/>
              <w:snapToGrid/>
              <w:spacing w:line="312" w:lineRule="auto"/>
              <w:jc w:val="left"/>
              <w:textAlignment w:val="auto"/>
            </w:pPr>
            <w:r>
              <w:t>400–1073 nm</w:t>
            </w:r>
          </w:p>
        </w:tc>
        <w:tc>
          <w:p w14:paraId="38888E0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亚波长</w:t>
            </w:r>
            <w:r>
              <w:t xml:space="preserve"> + </w:t>
            </w:r>
            <w:r>
              <w:rPr>
                <w:rFonts w:hint="eastAsia"/>
              </w:rPr>
              <w:t>抑制高阶衍射</w:t>
            </w:r>
          </w:p>
        </w:tc>
      </w:tr>
      <w:tr w14:paraId="75B9065E">
        <w:tblPrEx>
          <w:tblCellMar>
            <w:top w:w="0" w:type="dxa"/>
            <w:left w:w="108" w:type="dxa"/>
            <w:bottom w:w="0" w:type="dxa"/>
            <w:right w:w="108" w:type="dxa"/>
          </w:tblCellMar>
        </w:tblPrEx>
        <w:tc>
          <w:p w14:paraId="67B041A9">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纳米柱高度</w:t>
            </w:r>
          </w:p>
        </w:tc>
        <w:tc>
          <w:p w14:paraId="2063D9CF">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H</m:t>
                </m:r>
              </m:oMath>
            </m:oMathPara>
          </w:p>
        </w:tc>
        <w:tc>
          <w:p w14:paraId="49677158">
            <w:pPr>
              <w:pStyle w:val="24"/>
              <w:pageBreakBefore w:val="0"/>
              <w:widowControl/>
              <w:kinsoku/>
              <w:wordWrap/>
              <w:overflowPunct/>
              <w:topLinePunct w:val="0"/>
              <w:autoSpaceDE/>
              <w:autoSpaceDN/>
              <w:bidi w:val="0"/>
              <w:adjustRightInd/>
              <w:snapToGrid/>
              <w:spacing w:line="312" w:lineRule="auto"/>
              <w:jc w:val="left"/>
              <w:textAlignment w:val="auto"/>
            </w:pPr>
            <w:r>
              <w:t xml:space="preserve">900 </w:t>
            </w:r>
            <w:r>
              <w:rPr>
                <w:rFonts w:hint="eastAsia"/>
              </w:rPr>
              <w:t>nm（固定）</w:t>
            </w:r>
          </w:p>
        </w:tc>
        <w:tc>
          <w:p w14:paraId="514AAD07">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实现</w:t>
            </w:r>
            <w:r>
              <w:t xml:space="preserve"> </w:t>
            </w:r>
            <m:oMath>
              <m:r>
                <m:rPr/>
                <m:t>0</m:t>
              </m:r>
              <m:r>
                <m:rPr>
                  <m:sty m:val="p"/>
                </m:rPr>
                <m:t>−</m:t>
              </m:r>
              <m:r>
                <m:rPr/>
                <m:t>2π</m:t>
              </m:r>
            </m:oMath>
            <w:r>
              <w:t xml:space="preserve"> </w:t>
            </w:r>
            <w:r>
              <w:rPr>
                <w:rFonts w:hint="eastAsia"/>
              </w:rPr>
              <w:t>相位覆盖[6]</w:t>
            </w:r>
          </w:p>
        </w:tc>
      </w:tr>
      <w:tr w14:paraId="1D2FDC0B">
        <w:tblPrEx>
          <w:tblCellMar>
            <w:top w:w="0" w:type="dxa"/>
            <w:left w:w="108" w:type="dxa"/>
            <w:bottom w:w="0" w:type="dxa"/>
            <w:right w:w="108" w:type="dxa"/>
          </w:tblCellMar>
        </w:tblPrEx>
        <w:tc>
          <w:p w14:paraId="1C585FD1">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b/>
                <w:bCs/>
              </w:rPr>
              <w:t>物理响应量（数据集输出</w:t>
            </w:r>
            <w:r>
              <w:rPr>
                <w:b/>
                <w:bCs/>
              </w:rPr>
              <w:t xml:space="preserve"> </w:t>
            </w:r>
            <m:oMath>
              <m:r>
                <m:rPr>
                  <m:sty m:val="b"/>
                </m:rPr>
                <m:t>y</m:t>
              </m:r>
            </m:oMath>
            <w:r>
              <w:rPr>
                <w:rFonts w:hint="eastAsia"/>
                <w:b/>
                <w:bCs/>
              </w:rPr>
              <w:t>）</w:t>
            </w:r>
          </w:p>
        </w:tc>
        <w:tc>
          <w:p w14:paraId="5CC6C15D">
            <w:pPr>
              <w:pStyle w:val="24"/>
              <w:pageBreakBefore w:val="0"/>
              <w:widowControl/>
              <w:kinsoku/>
              <w:wordWrap/>
              <w:overflowPunct/>
              <w:topLinePunct w:val="0"/>
              <w:autoSpaceDE/>
              <w:autoSpaceDN/>
              <w:bidi w:val="0"/>
              <w:adjustRightInd/>
              <w:snapToGrid/>
              <w:spacing w:line="312" w:lineRule="auto"/>
              <w:textAlignment w:val="auto"/>
            </w:pPr>
          </w:p>
        </w:tc>
        <w:tc>
          <w:p w14:paraId="6C49B98A">
            <w:pPr>
              <w:pStyle w:val="24"/>
              <w:pageBreakBefore w:val="0"/>
              <w:widowControl/>
              <w:kinsoku/>
              <w:wordWrap/>
              <w:overflowPunct/>
              <w:topLinePunct w:val="0"/>
              <w:autoSpaceDE/>
              <w:autoSpaceDN/>
              <w:bidi w:val="0"/>
              <w:adjustRightInd/>
              <w:snapToGrid/>
              <w:spacing w:line="312" w:lineRule="auto"/>
              <w:textAlignment w:val="auto"/>
            </w:pPr>
          </w:p>
        </w:tc>
        <w:tc>
          <w:p w14:paraId="0FC73D57">
            <w:pPr>
              <w:pStyle w:val="24"/>
              <w:pageBreakBefore w:val="0"/>
              <w:widowControl/>
              <w:kinsoku/>
              <w:wordWrap/>
              <w:overflowPunct/>
              <w:topLinePunct w:val="0"/>
              <w:autoSpaceDE/>
              <w:autoSpaceDN/>
              <w:bidi w:val="0"/>
              <w:adjustRightInd/>
              <w:snapToGrid/>
              <w:spacing w:line="312" w:lineRule="auto"/>
              <w:textAlignment w:val="auto"/>
            </w:pPr>
          </w:p>
        </w:tc>
      </w:tr>
      <w:tr w14:paraId="46BCCFA2">
        <w:tblPrEx>
          <w:tblCellMar>
            <w:top w:w="0" w:type="dxa"/>
            <w:left w:w="108" w:type="dxa"/>
            <w:bottom w:w="0" w:type="dxa"/>
            <w:right w:w="108" w:type="dxa"/>
          </w:tblCellMar>
        </w:tblPrEx>
        <w:tc>
          <w:p w14:paraId="7C2FB6E1">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透射相位</w:t>
            </w:r>
          </w:p>
        </w:tc>
        <w:tc>
          <w:p w14:paraId="7FF32DFC">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ϕ</m:t>
                </m:r>
              </m:oMath>
            </m:oMathPara>
          </w:p>
        </w:tc>
        <w:tc>
          <w:p w14:paraId="40EFB776">
            <w:pPr>
              <w:pStyle w:val="24"/>
              <w:pageBreakBefore w:val="0"/>
              <w:widowControl/>
              <w:kinsoku/>
              <w:wordWrap/>
              <w:overflowPunct/>
              <w:topLinePunct w:val="0"/>
              <w:autoSpaceDE/>
              <w:autoSpaceDN/>
              <w:bidi w:val="0"/>
              <w:adjustRightInd/>
              <w:snapToGrid/>
              <w:spacing w:line="312" w:lineRule="auto"/>
              <w:jc w:val="left"/>
              <w:textAlignment w:val="auto"/>
            </w:pPr>
            <m:oMathPara>
              <m:oMath>
                <m:r>
                  <m:rPr>
                    <m:sty m:val="p"/>
                  </m:rPr>
                  <m:t>[−</m:t>
                </m:r>
                <m:sSup>
                  <m:sSupPr/>
                  <m:e>
                    <m:r>
                      <m:rPr/>
                      <m:t>180</m:t>
                    </m:r>
                  </m:e>
                  <m:sup>
                    <m:r>
                      <m:rPr>
                        <m:sty m:val="p"/>
                      </m:rPr>
                      <m:t>∘</m:t>
                    </m:r>
                  </m:sup>
                </m:sSup>
                <m:r>
                  <m:rPr>
                    <m:sty m:val="p"/>
                  </m:rPr>
                  <m:t>,</m:t>
                </m:r>
                <m:sSup>
                  <m:sSupPr/>
                  <m:e>
                    <m:r>
                      <m:rPr/>
                      <m:t>180</m:t>
                    </m:r>
                  </m:e>
                  <m:sup>
                    <m:r>
                      <m:rPr>
                        <m:sty m:val="p"/>
                      </m:rPr>
                      <m:t>∘</m:t>
                    </m:r>
                  </m:sup>
                </m:sSup>
                <m:r>
                  <m:rPr>
                    <m:sty m:val="p"/>
                  </m:rPr>
                  <m:t>]</m:t>
                </m:r>
              </m:oMath>
            </m:oMathPara>
          </w:p>
        </w:tc>
        <w:tc>
          <w:p w14:paraId="7869F870">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周期性</w:t>
            </w:r>
          </w:p>
        </w:tc>
      </w:tr>
      <w:tr w14:paraId="7E7A0C30">
        <w:tblPrEx>
          <w:tblCellMar>
            <w:top w:w="0" w:type="dxa"/>
            <w:left w:w="108" w:type="dxa"/>
            <w:bottom w:w="0" w:type="dxa"/>
            <w:right w:w="108" w:type="dxa"/>
          </w:tblCellMar>
        </w:tblPrEx>
        <w:tc>
          <w:p w14:paraId="48DC8081">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透射率</w:t>
            </w:r>
          </w:p>
        </w:tc>
        <w:tc>
          <w:p w14:paraId="3E9C9C13">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T</m:t>
                </m:r>
              </m:oMath>
            </m:oMathPara>
          </w:p>
        </w:tc>
        <w:tc>
          <w:p w14:paraId="7E392034">
            <w:pPr>
              <w:pStyle w:val="24"/>
              <w:pageBreakBefore w:val="0"/>
              <w:widowControl/>
              <w:kinsoku/>
              <w:wordWrap/>
              <w:overflowPunct/>
              <w:topLinePunct w:val="0"/>
              <w:autoSpaceDE/>
              <w:autoSpaceDN/>
              <w:bidi w:val="0"/>
              <w:adjustRightInd/>
              <w:snapToGrid/>
              <w:spacing w:line="312" w:lineRule="auto"/>
              <w:jc w:val="left"/>
              <w:textAlignment w:val="auto"/>
            </w:pPr>
            <m:oMathPara>
              <m:oMath>
                <m:r>
                  <m:rPr>
                    <m:sty m:val="p"/>
                  </m:rPr>
                  <m:t>[</m:t>
                </m:r>
                <m:r>
                  <m:rPr/>
                  <m:t>0</m:t>
                </m:r>
                <m:r>
                  <m:rPr>
                    <m:sty m:val="p"/>
                  </m:rPr>
                  <m:t>,</m:t>
                </m:r>
                <m:r>
                  <m:rPr/>
                  <m:t>1</m:t>
                </m:r>
                <m:r>
                  <m:rPr>
                    <m:sty m:val="p"/>
                  </m:rPr>
                  <m:t>]</m:t>
                </m:r>
              </m:oMath>
            </m:oMathPara>
          </w:p>
        </w:tc>
        <w:tc>
          <w:p w14:paraId="6A1A9A05">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能量守恒</w:t>
            </w:r>
          </w:p>
        </w:tc>
      </w:tr>
      <w:tr w14:paraId="3D95A6C2">
        <w:tblPrEx>
          <w:tblCellMar>
            <w:top w:w="0" w:type="dxa"/>
            <w:left w:w="108" w:type="dxa"/>
            <w:bottom w:w="0" w:type="dxa"/>
            <w:right w:w="108" w:type="dxa"/>
          </w:tblCellMar>
        </w:tblPrEx>
        <w:tc>
          <w:p w14:paraId="55E9008F">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反射率（辅助）</w:t>
            </w:r>
          </w:p>
        </w:tc>
        <w:tc>
          <w:p w14:paraId="48D2C053">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R</m:t>
                </m:r>
              </m:oMath>
            </m:oMathPara>
          </w:p>
        </w:tc>
        <w:tc>
          <w:p w14:paraId="388054A0">
            <w:pPr>
              <w:pStyle w:val="24"/>
              <w:pageBreakBefore w:val="0"/>
              <w:widowControl/>
              <w:kinsoku/>
              <w:wordWrap/>
              <w:overflowPunct/>
              <w:topLinePunct w:val="0"/>
              <w:autoSpaceDE/>
              <w:autoSpaceDN/>
              <w:bidi w:val="0"/>
              <w:adjustRightInd/>
              <w:snapToGrid/>
              <w:spacing w:line="312" w:lineRule="auto"/>
              <w:jc w:val="left"/>
              <w:textAlignment w:val="auto"/>
            </w:pPr>
            <m:oMathPara>
              <m:oMath>
                <m:r>
                  <m:rPr>
                    <m:sty m:val="p"/>
                  </m:rPr>
                  <m:t>[</m:t>
                </m:r>
                <m:r>
                  <m:rPr/>
                  <m:t>0</m:t>
                </m:r>
                <m:r>
                  <m:rPr>
                    <m:sty m:val="p"/>
                  </m:rPr>
                  <m:t>,</m:t>
                </m:r>
                <m:r>
                  <m:rPr/>
                  <m:t>1</m:t>
                </m:r>
                <m:r>
                  <m:rPr>
                    <m:sty m:val="p"/>
                  </m:rPr>
                  <m:t>]</m:t>
                </m:r>
              </m:oMath>
            </m:oMathPara>
          </w:p>
        </w:tc>
        <w:tc>
          <w:p w14:paraId="009E2FA2">
            <w:pPr>
              <w:pStyle w:val="24"/>
              <w:pageBreakBefore w:val="0"/>
              <w:widowControl/>
              <w:kinsoku/>
              <w:wordWrap/>
              <w:overflowPunct/>
              <w:topLinePunct w:val="0"/>
              <w:autoSpaceDE/>
              <w:autoSpaceDN/>
              <w:bidi w:val="0"/>
              <w:adjustRightInd/>
              <w:snapToGrid/>
              <w:spacing w:line="312" w:lineRule="auto"/>
              <w:jc w:val="left"/>
              <w:textAlignment w:val="auto"/>
            </w:pPr>
            <m:oMathPara>
              <m:oMath>
                <m:r>
                  <m:rPr/>
                  <m:t>T</m:t>
                </m:r>
                <m:r>
                  <m:rPr>
                    <m:sty m:val="p"/>
                  </m:rPr>
                  <m:t>+</m:t>
                </m:r>
                <m:r>
                  <m:rPr/>
                  <m:t>R</m:t>
                </m:r>
                <m:r>
                  <m:rPr>
                    <m:sty m:val="p"/>
                  </m:rPr>
                  <m:t>≤</m:t>
                </m:r>
                <m:r>
                  <m:rPr/>
                  <m:t>1</m:t>
                </m:r>
              </m:oMath>
            </m:oMathPara>
          </w:p>
        </w:tc>
      </w:tr>
      <w:bookmarkEnd w:id="4"/>
      <w:bookmarkEnd w:id="5"/>
    </w:tbl>
    <w:p w14:paraId="5A73D012">
      <w:pPr>
        <w:pStyle w:val="5"/>
        <w:pageBreakBefore w:val="0"/>
        <w:widowControl/>
        <w:kinsoku/>
        <w:wordWrap/>
        <w:overflowPunct/>
        <w:topLinePunct w:val="0"/>
        <w:autoSpaceDE/>
        <w:autoSpaceDN/>
        <w:bidi w:val="0"/>
        <w:adjustRightInd/>
        <w:snapToGrid/>
        <w:spacing w:line="312" w:lineRule="auto"/>
        <w:textAlignment w:val="auto"/>
      </w:pPr>
      <w:bookmarkStart w:id="6" w:name="电磁响应计算等效介质近似与fabrypérot模型"/>
      <w:r>
        <w:t xml:space="preserve">2.2 </w:t>
      </w:r>
      <w:r>
        <w:rPr>
          <w:rFonts w:hint="eastAsia"/>
        </w:rPr>
        <w:t>电磁响应计算：等效介质近似与Fabry–Pérot模型</w:t>
      </w:r>
    </w:p>
    <w:p w14:paraId="34CD7342">
      <w:pPr>
        <w:pStyle w:val="3"/>
        <w:pageBreakBefore w:val="0"/>
        <w:widowControl/>
        <w:kinsoku/>
        <w:wordWrap/>
        <w:overflowPunct/>
        <w:topLinePunct w:val="0"/>
        <w:autoSpaceDE/>
        <w:autoSpaceDN/>
        <w:bidi w:val="0"/>
        <w:adjustRightInd/>
        <w:snapToGrid/>
        <w:spacing w:line="312" w:lineRule="auto"/>
        <w:textAlignment w:val="auto"/>
      </w:pPr>
      <w:r>
        <w:rPr>
          <w:rFonts w:hint="eastAsia"/>
        </w:rPr>
        <w:t>为避免逐点全波仿真的巨大耗时，本文采用等效介质理论结合Fabry–Pérot（FP）共振模型计算单元的复透射系数。该半解析模型在亚波长周期</w:t>
      </w:r>
      <w:r>
        <w:t xml:space="preserve"> </w:t>
      </w:r>
      <m:oMath>
        <m:r>
          <m:rPr/>
          <m:t>p</m:t>
        </m:r>
        <m:r>
          <m:rPr>
            <m:sty m:val="p"/>
          </m:rPr>
          <m:t>&lt;</m:t>
        </m:r>
        <m:r>
          <m:rPr/>
          <m:t>λ</m:t>
        </m:r>
        <m:r>
          <m:rPr>
            <m:sty m:val="p"/>
          </m:rPr>
          <m:t>/</m:t>
        </m:r>
        <m:sSub>
          <m:sSubPr/>
          <m:e>
            <m:r>
              <m:rPr/>
              <m:t>n</m:t>
            </m:r>
          </m:e>
          <m:sub>
            <m:r>
              <m:rPr>
                <m:nor/>
                <m:sty m:val="p"/>
              </m:rPr>
              <w:rPr>
                <w:b w:val="0"/>
                <w:i w:val="0"/>
              </w:rPr>
              <m:t>sub</m:t>
            </m:r>
          </m:sub>
        </m:sSub>
      </m:oMath>
      <w:r>
        <w:t xml:space="preserve"> </w:t>
      </w:r>
      <w:r>
        <w:rPr>
          <w:rFonts w:hint="eastAsia"/>
        </w:rPr>
        <w:t>条件下被证明与严格耦合波分析（RCWA）结果良好吻合[7]。</w:t>
      </w:r>
    </w:p>
    <w:p w14:paraId="06273FE2">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有效折射率（Rytov二阶近似）[7]</w:t>
      </w:r>
      <w:r>
        <w:br w:type="textWrapping"/>
      </w:r>
      <w:r>
        <w:rPr>
          <w:rFonts w:hint="eastAsia"/>
        </w:rPr>
        <w:t>对于填充因子</w:t>
      </w:r>
      <w:r>
        <w:t xml:space="preserve"> </w:t>
      </w:r>
      <m:oMath>
        <m:r>
          <m:rPr/>
          <m:t>f</m:t>
        </m:r>
        <m:r>
          <m:rPr>
            <m:sty m:val="p"/>
          </m:rPr>
          <m:t>=</m:t>
        </m:r>
        <m:r>
          <m:rPr/>
          <m:t>w</m:t>
        </m:r>
        <m:r>
          <m:rPr>
            <m:sty m:val="p"/>
          </m:rPr>
          <m:t>/</m:t>
        </m:r>
        <m:r>
          <m:rPr/>
          <m:t>p</m:t>
        </m:r>
      </m:oMath>
      <w:r>
        <w:rPr>
          <w:rFonts w:hint="eastAsia"/>
        </w:rPr>
        <w:t>，TE偏振下零级等效介质模型给出：</w:t>
      </w:r>
    </w:p>
    <w:p w14:paraId="06CC1BA2">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Sup>
            <m:sSubSupPr/>
            <m:e>
              <m:r>
                <m:rPr/>
                <m:t>n</m:t>
              </m:r>
            </m:e>
            <m:sub>
              <m:r>
                <m:rPr>
                  <m:nor/>
                  <m:sty m:val="p"/>
                </m:rPr>
                <w:rPr>
                  <w:b w:val="0"/>
                  <w:i w:val="0"/>
                </w:rPr>
                <m:t>eff</m:t>
              </m:r>
            </m:sub>
            <m:sup>
              <m:r>
                <m:rPr/>
                <m:t>2</m:t>
              </m:r>
            </m:sup>
          </m:sSubSup>
          <m:r>
            <m:rPr>
              <m:sty m:val="p"/>
            </m:rPr>
            <m:t>(</m:t>
          </m:r>
          <m:r>
            <m:rPr/>
            <m:t>f</m:t>
          </m:r>
          <m:r>
            <m:rPr>
              <m:sty m:val="p"/>
            </m:rPr>
            <m:t>)=</m:t>
          </m:r>
          <m:r>
            <m:rPr/>
            <m:t>f</m:t>
          </m:r>
          <m:sSubSup>
            <m:sSubSupPr/>
            <m:e>
              <m:r>
                <m:rPr/>
                <m:t>n</m:t>
              </m:r>
            </m:e>
            <m:sub>
              <m:r>
                <m:rPr>
                  <m:nor/>
                  <m:sty m:val="p"/>
                </m:rPr>
                <w:rPr>
                  <w:b w:val="0"/>
                  <w:i w:val="0"/>
                </w:rPr>
                <m:t>Si</m:t>
              </m:r>
            </m:sub>
            <m:sup>
              <m:r>
                <m:rPr/>
                <m:t>2</m:t>
              </m:r>
            </m:sup>
          </m:sSubSup>
          <m:r>
            <m:rPr>
              <m:sty m:val="p"/>
            </m:rPr>
            <m:t>+(</m:t>
          </m:r>
          <m:r>
            <m:rPr/>
            <m:t>1</m:t>
          </m:r>
          <m:r>
            <m:rPr>
              <m:sty m:val="p"/>
            </m:rPr>
            <m:t>−</m:t>
          </m:r>
          <m:r>
            <m:rPr/>
            <m:t>f</m:t>
          </m:r>
          <m:r>
            <m:rPr>
              <m:sty m:val="p"/>
            </m:rPr>
            <m:t>)</m:t>
          </m:r>
          <m:sSubSup>
            <m:sSubSupPr/>
            <m:e>
              <m:r>
                <m:rPr/>
                <m:t>n</m:t>
              </m:r>
            </m:e>
            <m:sub>
              <m:r>
                <m:rPr>
                  <m:nor/>
                  <m:sty m:val="p"/>
                </m:rPr>
                <w:rPr>
                  <w:b w:val="0"/>
                  <w:i w:val="0"/>
                </w:rPr>
                <m:t>air</m:t>
              </m:r>
            </m:sub>
            <m:sup>
              <m:r>
                <m:rPr/>
                <m:t>2</m:t>
              </m:r>
            </m:sup>
          </m:sSubSup>
          <m:r>
            <m:rPr>
              <m:sty m:val="p"/>
            </m:rPr>
            <m:t>+</m:t>
          </m:r>
          <m:f>
            <m:fPr/>
            <m:num>
              <m:r>
                <m:rPr>
                  <m:sty m:val="p"/>
                </m:rPr>
                <m:t>(</m:t>
              </m:r>
              <m:sSubSup>
                <m:sSubSupPr/>
                <m:e>
                  <m:r>
                    <m:rPr/>
                    <m:t>n</m:t>
                  </m:r>
                </m:e>
                <m:sub>
                  <m:r>
                    <m:rPr>
                      <m:nor/>
                      <m:sty m:val="p"/>
                    </m:rPr>
                    <w:rPr>
                      <w:b w:val="0"/>
                      <w:i w:val="0"/>
                    </w:rPr>
                    <m:t>Si</m:t>
                  </m:r>
                </m:sub>
                <m:sup>
                  <m:r>
                    <m:rPr/>
                    <m:t>2</m:t>
                  </m:r>
                </m:sup>
              </m:sSubSup>
              <m:r>
                <m:rPr>
                  <m:sty m:val="p"/>
                </m:rPr>
                <m:t>−</m:t>
              </m:r>
              <m:sSubSup>
                <m:sSubSupPr/>
                <m:e>
                  <m:r>
                    <m:rPr/>
                    <m:t>n</m:t>
                  </m:r>
                </m:e>
                <m:sub>
                  <m:r>
                    <m:rPr>
                      <m:nor/>
                      <m:sty m:val="p"/>
                    </m:rPr>
                    <w:rPr>
                      <w:b w:val="0"/>
                      <w:i w:val="0"/>
                    </w:rPr>
                    <m:t>air</m:t>
                  </m:r>
                </m:sub>
                <m:sup>
                  <m:r>
                    <m:rPr/>
                    <m:t>2</m:t>
                  </m:r>
                </m:sup>
              </m:sSubSup>
              <m:sSup>
                <m:sSupPr/>
                <m:e>
                  <m:r>
                    <m:rPr>
                      <m:sty m:val="p"/>
                    </m:rPr>
                    <m:t>)</m:t>
                  </m:r>
                </m:e>
                <m:sup>
                  <m:r>
                    <m:rPr/>
                    <m:t>2</m:t>
                  </m:r>
                </m:sup>
              </m:sSup>
            </m:num>
            <m:den>
              <m:r>
                <m:rPr/>
                <m:t>3</m:t>
              </m:r>
            </m:den>
          </m:f>
          <m:r>
            <m:rPr/>
            <m:t> </m:t>
          </m:r>
          <m:sSup>
            <m:sSupPr/>
            <m:e>
              <m:r>
                <m:rPr/>
                <m:t>f</m:t>
              </m:r>
            </m:e>
            <m:sup>
              <m:r>
                <m:rPr/>
                <m:t>2</m:t>
              </m:r>
            </m:sup>
          </m:sSup>
          <m:r>
            <m:rPr>
              <m:sty m:val="p"/>
            </m:rPr>
            <m:t>(</m:t>
          </m:r>
          <m:r>
            <m:rPr/>
            <m:t>1</m:t>
          </m:r>
          <m:r>
            <m:rPr>
              <m:sty m:val="p"/>
            </m:rPr>
            <m:t>−</m:t>
          </m:r>
          <m:r>
            <m:rPr/>
            <m:t>f</m:t>
          </m:r>
          <m:sSup>
            <m:sSupPr/>
            <m:e>
              <m:r>
                <m:rPr>
                  <m:sty m:val="p"/>
                </m:rPr>
                <m:t>)</m:t>
              </m:r>
            </m:e>
            <m:sup>
              <m:r>
                <m:rPr/>
                <m:t>2</m:t>
              </m:r>
            </m:sup>
          </m:sSup>
          <m:r>
            <m:rPr/>
            <m:t> </m:t>
          </m:r>
          <m:r>
            <m:rPr>
              <m:sty m:val="p"/>
            </m:rPr>
            <m:t>(</m:t>
          </m:r>
          <m:sSub>
            <m:sSubPr/>
            <m:e>
              <m:r>
                <m:rPr/>
                <m:t>k</m:t>
              </m:r>
            </m:e>
            <m:sub>
              <m:r>
                <m:rPr/>
                <m:t>0</m:t>
              </m:r>
            </m:sub>
          </m:sSub>
          <m:r>
            <m:rPr/>
            <m:t>p</m:t>
          </m:r>
          <m:sSup>
            <m:sSupPr/>
            <m:e>
              <m:r>
                <m:rPr>
                  <m:sty m:val="p"/>
                </m:rPr>
                <m:t>)</m:t>
              </m:r>
            </m:e>
            <m:sup>
              <m:r>
                <m:rPr/>
                <m:t>2</m:t>
              </m:r>
            </m:sup>
          </m:sSup>
          <m:r>
            <m:rPr>
              <m:sty m:val="p"/>
            </m:rPr>
            <m:t>.</m:t>
          </m:r>
        </m:oMath>
      </m:oMathPara>
    </w:p>
    <w:p w14:paraId="39835380">
      <w:pPr>
        <w:pStyle w:val="3"/>
        <w:pageBreakBefore w:val="0"/>
        <w:widowControl/>
        <w:kinsoku/>
        <w:wordWrap/>
        <w:overflowPunct/>
        <w:topLinePunct w:val="0"/>
        <w:autoSpaceDE/>
        <w:autoSpaceDN/>
        <w:bidi w:val="0"/>
        <w:adjustRightInd/>
        <w:snapToGrid/>
        <w:spacing w:line="312" w:lineRule="auto"/>
        <w:textAlignment w:val="auto"/>
      </w:pPr>
      <w:r>
        <w:rPr>
          <w:rFonts w:hint="eastAsia"/>
        </w:rPr>
        <w:t>其中末项为二阶修正，反映了周期对有效折射率的色散影响。</w:t>
      </w:r>
    </w:p>
    <w:p w14:paraId="1C621907">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传播相位积累</w:t>
      </w:r>
      <w:r>
        <w:br w:type="textWrapping"/>
      </w:r>
      <w:r>
        <w:rPr>
          <w:rFonts w:hint="eastAsia"/>
        </w:rPr>
        <w:t>电磁波在等效波导中单程传播积累的相位为：</w:t>
      </w:r>
    </w:p>
    <w:p w14:paraId="1B824ADB">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sty m:val="p"/>
                </m:rPr>
                <m:t>Φ</m:t>
              </m:r>
            </m:e>
            <m:sub>
              <m:r>
                <m:rPr>
                  <m:nor/>
                  <m:sty m:val="p"/>
                </m:rPr>
                <w:rPr>
                  <w:b w:val="0"/>
                  <w:i w:val="0"/>
                </w:rPr>
                <m:t>prop</m:t>
              </m:r>
            </m:sub>
          </m:sSub>
          <m:r>
            <m:rPr>
              <m:sty m:val="p"/>
            </m:rPr>
            <m:t>=</m:t>
          </m:r>
          <m:f>
            <m:fPr/>
            <m:num>
              <m:r>
                <m:rPr/>
                <m:t>2π</m:t>
              </m:r>
            </m:num>
            <m:den>
              <m:sSub>
                <m:sSubPr/>
                <m:e>
                  <m:r>
                    <m:rPr/>
                    <m:t>λ</m:t>
                  </m:r>
                </m:e>
                <m:sub>
                  <m:r>
                    <m:rPr/>
                    <m:t>0</m:t>
                  </m:r>
                </m:sub>
              </m:sSub>
            </m:den>
          </m:f>
          <m:sSub>
            <m:sSubPr/>
            <m:e>
              <m:r>
                <m:rPr/>
                <m:t>n</m:t>
              </m:r>
            </m:e>
            <m:sub>
              <m:r>
                <m:rPr>
                  <m:nor/>
                  <m:sty m:val="p"/>
                </m:rPr>
                <w:rPr>
                  <w:b w:val="0"/>
                  <w:i w:val="0"/>
                </w:rPr>
                <m:t>eff</m:t>
              </m:r>
            </m:sub>
          </m:sSub>
          <m:r>
            <m:rPr/>
            <m:t>H</m:t>
          </m:r>
          <m:r>
            <m:rPr>
              <m:sty m:val="p"/>
            </m:rPr>
            <m:t>.</m:t>
          </m:r>
        </m:oMath>
      </m:oMathPara>
    </w:p>
    <w:p w14:paraId="6234D4B0">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Fabry–Pérot透射系数</w:t>
      </w:r>
      <w:r>
        <w:br w:type="textWrapping"/>
      </w:r>
      <w:r>
        <w:rPr>
          <w:rFonts w:hint="eastAsia"/>
        </w:rPr>
        <w:t>考虑纳米柱上下界面（空气/等效介质、等效介质/基底）的菲涅耳反射与多次反射干涉，透射系数为：</w:t>
      </w:r>
    </w:p>
    <w:p w14:paraId="2D622BA8">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r>
            <m:rPr/>
            <m:t>t</m:t>
          </m:r>
          <m:r>
            <m:rPr>
              <m:sty m:val="p"/>
            </m:rPr>
            <m:t>=</m:t>
          </m:r>
          <m:f>
            <m:fPr/>
            <m:num>
              <m:r>
                <m:rPr>
                  <m:sty m:val="p"/>
                </m:rPr>
                <m:t>(</m:t>
              </m:r>
              <m:r>
                <m:rPr/>
                <m:t>1</m:t>
              </m:r>
              <m:r>
                <m:rPr>
                  <m:sty m:val="p"/>
                </m:rPr>
                <m:t>−</m:t>
              </m:r>
              <m:sSub>
                <m:sSubPr/>
                <m:e>
                  <m:r>
                    <m:rPr/>
                    <m:t>r</m:t>
                  </m:r>
                </m:e>
                <m:sub>
                  <m:r>
                    <m:rPr/>
                    <m:t>1</m:t>
                  </m:r>
                </m:sub>
              </m:sSub>
              <m:r>
                <m:rPr>
                  <m:sty m:val="p"/>
                </m:rPr>
                <m:t>)(</m:t>
              </m:r>
              <m:r>
                <m:rPr/>
                <m:t>1</m:t>
              </m:r>
              <m:r>
                <m:rPr>
                  <m:sty m:val="p"/>
                </m:rPr>
                <m:t>−</m:t>
              </m:r>
              <m:sSub>
                <m:sSubPr/>
                <m:e>
                  <m:r>
                    <m:rPr/>
                    <m:t>r</m:t>
                  </m:r>
                </m:e>
                <m:sub>
                  <m:r>
                    <m:rPr/>
                    <m:t>2</m:t>
                  </m:r>
                </m:sub>
              </m:sSub>
              <m:r>
                <m:rPr>
                  <m:sty m:val="p"/>
                </m:rPr>
                <m:t>)</m:t>
              </m:r>
              <m:r>
                <m:rPr/>
                <m:t> </m:t>
              </m:r>
              <m:sSup>
                <m:sSupPr/>
                <m:e>
                  <m:r>
                    <m:rPr/>
                    <m:t>e</m:t>
                  </m:r>
                </m:e>
                <m:sup>
                  <m:r>
                    <m:rPr/>
                    <m:t>i</m:t>
                  </m:r>
                  <m:sSub>
                    <m:sSubPr/>
                    <m:e>
                      <m:r>
                        <m:rPr>
                          <m:sty m:val="p"/>
                        </m:rPr>
                        <m:t>Φ</m:t>
                      </m:r>
                    </m:e>
                    <m:sub>
                      <m:r>
                        <m:rPr>
                          <m:nor/>
                          <m:sty m:val="p"/>
                        </m:rPr>
                        <w:rPr>
                          <w:b w:val="0"/>
                          <w:i w:val="0"/>
                        </w:rPr>
                        <m:t>prop</m:t>
                      </m:r>
                    </m:sub>
                  </m:sSub>
                </m:sup>
              </m:sSup>
            </m:num>
            <m:den>
              <m:r>
                <m:rPr/>
                <m:t>1</m:t>
              </m:r>
              <m:r>
                <m:rPr>
                  <m:sty m:val="p"/>
                </m:rPr>
                <m:t>−</m:t>
              </m:r>
              <m:sSub>
                <m:sSubPr/>
                <m:e>
                  <m:r>
                    <m:rPr/>
                    <m:t>r</m:t>
                  </m:r>
                </m:e>
                <m:sub>
                  <m:r>
                    <m:rPr/>
                    <m:t>1</m:t>
                  </m:r>
                </m:sub>
              </m:sSub>
              <m:sSub>
                <m:sSubPr/>
                <m:e>
                  <m:r>
                    <m:rPr/>
                    <m:t>r</m:t>
                  </m:r>
                </m:e>
                <m:sub>
                  <m:r>
                    <m:rPr/>
                    <m:t>2</m:t>
                  </m:r>
                </m:sub>
              </m:sSub>
              <m:r>
                <m:rPr/>
                <m:t> </m:t>
              </m:r>
              <m:sSup>
                <m:sSupPr/>
                <m:e>
                  <m:r>
                    <m:rPr/>
                    <m:t>e</m:t>
                  </m:r>
                </m:e>
                <m:sup>
                  <m:r>
                    <m:rPr/>
                    <m:t>2i</m:t>
                  </m:r>
                  <m:sSub>
                    <m:sSubPr/>
                    <m:e>
                      <m:r>
                        <m:rPr>
                          <m:sty m:val="p"/>
                        </m:rPr>
                        <m:t>Φ</m:t>
                      </m:r>
                    </m:e>
                    <m:sub>
                      <m:r>
                        <m:rPr>
                          <m:nor/>
                          <m:sty m:val="p"/>
                        </m:rPr>
                        <w:rPr>
                          <w:b w:val="0"/>
                          <w:i w:val="0"/>
                        </w:rPr>
                        <m:t>prop</m:t>
                      </m:r>
                    </m:sub>
                  </m:sSub>
                </m:sup>
              </m:sSup>
            </m:den>
          </m:f>
          <m:r>
            <m:rPr>
              <m:sty m:val="p"/>
            </m:rPr>
            <m:t>,</m:t>
          </m:r>
        </m:oMath>
      </m:oMathPara>
    </w:p>
    <w:p w14:paraId="1B897916">
      <w:pPr>
        <w:pStyle w:val="3"/>
        <w:pageBreakBefore w:val="0"/>
        <w:widowControl/>
        <w:kinsoku/>
        <w:wordWrap/>
        <w:overflowPunct/>
        <w:topLinePunct w:val="0"/>
        <w:autoSpaceDE/>
        <w:autoSpaceDN/>
        <w:bidi w:val="0"/>
        <w:adjustRightInd/>
        <w:snapToGrid/>
        <w:spacing w:line="312" w:lineRule="auto"/>
        <w:textAlignment w:val="auto"/>
      </w:pPr>
      <w:r>
        <w:rPr>
          <w:rFonts w:hint="eastAsia"/>
        </w:rPr>
        <w:t>其中界面反射系数为：</w:t>
      </w:r>
    </w:p>
    <w:p w14:paraId="6A818CE1">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t>r</m:t>
              </m:r>
            </m:e>
            <m:sub>
              <m:r>
                <m:rPr/>
                <m:t>1</m:t>
              </m:r>
            </m:sub>
          </m:sSub>
          <m:r>
            <m:rPr>
              <m:sty m:val="p"/>
            </m:rPr>
            <m:t>=</m:t>
          </m:r>
          <m:f>
            <m:fPr/>
            <m:num>
              <m:sSub>
                <m:sSubPr/>
                <m:e>
                  <m:r>
                    <m:rPr/>
                    <m:t>n</m:t>
                  </m:r>
                </m:e>
                <m:sub>
                  <m:r>
                    <m:rPr>
                      <m:nor/>
                      <m:sty m:val="p"/>
                    </m:rPr>
                    <w:rPr>
                      <w:b w:val="0"/>
                      <w:i w:val="0"/>
                    </w:rPr>
                    <m:t>air</m:t>
                  </m:r>
                </m:sub>
              </m:sSub>
              <m:r>
                <m:rPr>
                  <m:sty m:val="p"/>
                </m:rPr>
                <m:t>−</m:t>
              </m:r>
              <m:sSub>
                <m:sSubPr/>
                <m:e>
                  <m:r>
                    <m:rPr/>
                    <m:t>n</m:t>
                  </m:r>
                </m:e>
                <m:sub>
                  <m:r>
                    <m:rPr>
                      <m:nor/>
                      <m:sty m:val="p"/>
                    </m:rPr>
                    <w:rPr>
                      <w:b w:val="0"/>
                      <w:i w:val="0"/>
                    </w:rPr>
                    <m:t>eff</m:t>
                  </m:r>
                </m:sub>
              </m:sSub>
            </m:num>
            <m:den>
              <m:sSub>
                <m:sSubPr/>
                <m:e>
                  <m:r>
                    <m:rPr/>
                    <m:t>n</m:t>
                  </m:r>
                </m:e>
                <m:sub>
                  <m:r>
                    <m:rPr>
                      <m:nor/>
                      <m:sty m:val="p"/>
                    </m:rPr>
                    <w:rPr>
                      <w:b w:val="0"/>
                      <w:i w:val="0"/>
                    </w:rPr>
                    <m:t>air</m:t>
                  </m:r>
                </m:sub>
              </m:sSub>
              <m:r>
                <m:rPr>
                  <m:sty m:val="p"/>
                </m:rPr>
                <m:t>+</m:t>
              </m:r>
              <m:sSub>
                <m:sSubPr/>
                <m:e>
                  <m:r>
                    <m:rPr/>
                    <m:t>n</m:t>
                  </m:r>
                </m:e>
                <m:sub>
                  <m:r>
                    <m:rPr>
                      <m:nor/>
                      <m:sty m:val="p"/>
                    </m:rPr>
                    <w:rPr>
                      <w:b w:val="0"/>
                      <w:i w:val="0"/>
                    </w:rPr>
                    <m:t>eff</m:t>
                  </m:r>
                </m:sub>
              </m:sSub>
            </m:den>
          </m:f>
          <m:r>
            <m:rPr>
              <m:sty m:val="p"/>
            </m:rPr>
            <m:t>,</m:t>
          </m:r>
          <m:r>
            <m:rPr/>
            <m:t>  </m:t>
          </m:r>
          <m:sSub>
            <m:sSubPr/>
            <m:e>
              <m:r>
                <m:rPr/>
                <m:t>r</m:t>
              </m:r>
            </m:e>
            <m:sub>
              <m:r>
                <m:rPr/>
                <m:t>2</m:t>
              </m:r>
            </m:sub>
          </m:sSub>
          <m:r>
            <m:rPr>
              <m:sty m:val="p"/>
            </m:rPr>
            <m:t>=</m:t>
          </m:r>
          <m:f>
            <m:fPr/>
            <m:num>
              <m:sSub>
                <m:sSubPr/>
                <m:e>
                  <m:r>
                    <m:rPr/>
                    <m:t>n</m:t>
                  </m:r>
                </m:e>
                <m:sub>
                  <m:r>
                    <m:rPr>
                      <m:nor/>
                      <m:sty m:val="p"/>
                    </m:rPr>
                    <w:rPr>
                      <w:b w:val="0"/>
                      <w:i w:val="0"/>
                    </w:rPr>
                    <m:t>eff</m:t>
                  </m:r>
                </m:sub>
              </m:sSub>
              <m:r>
                <m:rPr>
                  <m:sty m:val="p"/>
                </m:rPr>
                <m:t>−</m:t>
              </m:r>
              <m:sSub>
                <m:sSubPr/>
                <m:e>
                  <m:r>
                    <m:rPr/>
                    <m:t>n</m:t>
                  </m:r>
                </m:e>
                <m:sub>
                  <m:r>
                    <m:rPr>
                      <m:nor/>
                      <m:sty m:val="p"/>
                    </m:rPr>
                    <w:rPr>
                      <w:b w:val="0"/>
                      <w:i w:val="0"/>
                    </w:rPr>
                    <m:t>sub</m:t>
                  </m:r>
                </m:sub>
              </m:sSub>
            </m:num>
            <m:den>
              <m:sSub>
                <m:sSubPr/>
                <m:e>
                  <m:r>
                    <m:rPr/>
                    <m:t>n</m:t>
                  </m:r>
                </m:e>
                <m:sub>
                  <m:r>
                    <m:rPr>
                      <m:nor/>
                      <m:sty m:val="p"/>
                    </m:rPr>
                    <w:rPr>
                      <w:b w:val="0"/>
                      <w:i w:val="0"/>
                    </w:rPr>
                    <m:t>eff</m:t>
                  </m:r>
                </m:sub>
              </m:sSub>
              <m:r>
                <m:rPr>
                  <m:sty m:val="p"/>
                </m:rPr>
                <m:t>+</m:t>
              </m:r>
              <m:sSub>
                <m:sSubPr/>
                <m:e>
                  <m:r>
                    <m:rPr/>
                    <m:t>n</m:t>
                  </m:r>
                </m:e>
                <m:sub>
                  <m:r>
                    <m:rPr>
                      <m:nor/>
                      <m:sty m:val="p"/>
                    </m:rPr>
                    <w:rPr>
                      <w:b w:val="0"/>
                      <w:i w:val="0"/>
                    </w:rPr>
                    <m:t>sub</m:t>
                  </m:r>
                </m:sub>
              </m:sSub>
            </m:den>
          </m:f>
          <m:r>
            <m:rPr>
              <m:sty m:val="p"/>
            </m:rPr>
            <m:t>.</m:t>
          </m:r>
        </m:oMath>
      </m:oMathPara>
    </w:p>
    <w:p w14:paraId="0CC62241">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电磁响应提取</w:t>
      </w:r>
      <w:r>
        <w:br w:type="textWrapping"/>
      </w:r>
    </w:p>
    <w:p w14:paraId="32DE2690">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r>
            <m:rPr/>
            <m:t>T</m:t>
          </m:r>
          <m:r>
            <m:rPr>
              <m:sty m:val="p"/>
            </m:rPr>
            <m:t>=|</m:t>
          </m:r>
          <m:r>
            <m:rPr/>
            <m:t>t</m:t>
          </m:r>
          <m:sSup>
            <m:sSupPr/>
            <m:e>
              <m:r>
                <m:rPr>
                  <m:sty m:val="p"/>
                </m:rPr>
                <m:t>|</m:t>
              </m:r>
            </m:e>
            <m:sup>
              <m:r>
                <m:rPr/>
                <m:t>2</m:t>
              </m:r>
            </m:sup>
          </m:sSup>
          <m:r>
            <m:rPr>
              <m:sty m:val="p"/>
            </m:rPr>
            <m:t>∈[</m:t>
          </m:r>
          <m:r>
            <m:rPr/>
            <m:t>0</m:t>
          </m:r>
          <m:r>
            <m:rPr>
              <m:sty m:val="p"/>
            </m:rPr>
            <m:t>,</m:t>
          </m:r>
          <m:r>
            <m:rPr/>
            <m:t>1</m:t>
          </m:r>
          <m:r>
            <m:rPr>
              <m:sty m:val="p"/>
            </m:rPr>
            <m:t>],</m:t>
          </m:r>
          <m:r>
            <m:rPr/>
            <m:t>  ϕ</m:t>
          </m:r>
          <m:r>
            <m:rPr>
              <m:sty m:val="p"/>
            </m:rPr>
            <m:t>=arg(</m:t>
          </m:r>
          <m:r>
            <m:rPr/>
            <m:t>t</m:t>
          </m:r>
          <m:r>
            <m:rPr>
              <m:sty m:val="p"/>
            </m:rPr>
            <m:t>)∈(−</m:t>
          </m:r>
          <m:r>
            <m:rPr/>
            <m:t>π</m:t>
          </m:r>
          <m:r>
            <m:rPr>
              <m:sty m:val="p"/>
            </m:rPr>
            <m:t>,</m:t>
          </m:r>
          <m:r>
            <m:rPr/>
            <m:t>π</m:t>
          </m:r>
          <m:r>
            <m:rPr>
              <m:sty m:val="p"/>
            </m:rPr>
            <m:t>]</m:t>
          </m:r>
          <m:r>
            <m:rPr/>
            <m:t> </m:t>
          </m:r>
          <m:r>
            <m:rPr>
              <m:sty m:val="p"/>
            </m:rPr>
            <m:t>(</m:t>
          </m:r>
          <m:r>
            <m:rPr>
              <m:nor/>
              <m:sty m:val="p"/>
            </m:rPr>
            <m:t>转换为度</m:t>
          </m:r>
          <m:r>
            <m:rPr>
              <m:sty m:val="p"/>
            </m:rPr>
            <m:t>[−</m:t>
          </m:r>
          <m:sSup>
            <m:sSupPr/>
            <m:e>
              <m:r>
                <m:rPr/>
                <m:t>180</m:t>
              </m:r>
            </m:e>
            <m:sup>
              <m:r>
                <m:rPr>
                  <m:sty m:val="p"/>
                </m:rPr>
                <m:t>∘</m:t>
              </m:r>
            </m:sup>
          </m:sSup>
          <m:r>
            <m:rPr>
              <m:sty m:val="p"/>
            </m:rPr>
            <m:t>,</m:t>
          </m:r>
          <m:sSup>
            <m:sSupPr/>
            <m:e>
              <m:r>
                <m:rPr/>
                <m:t>180</m:t>
              </m:r>
            </m:e>
            <m:sup>
              <m:r>
                <m:rPr>
                  <m:sty m:val="p"/>
                </m:rPr>
                <m:t>∘</m:t>
              </m:r>
            </m:sup>
          </m:sSup>
          <m:r>
            <m:rPr>
              <m:sty m:val="p"/>
            </m:rPr>
            <m:t>]).</m:t>
          </m:r>
        </m:oMath>
      </m:oMathPara>
    </w:p>
    <w:p w14:paraId="683630FD">
      <w:pPr>
        <w:pStyle w:val="3"/>
        <w:pageBreakBefore w:val="0"/>
        <w:widowControl/>
        <w:kinsoku/>
        <w:wordWrap/>
        <w:overflowPunct/>
        <w:topLinePunct w:val="0"/>
        <w:autoSpaceDE/>
        <w:autoSpaceDN/>
        <w:bidi w:val="0"/>
        <w:adjustRightInd/>
        <w:snapToGrid/>
        <w:spacing w:line="312" w:lineRule="auto"/>
        <w:textAlignment w:val="auto"/>
      </w:pPr>
      <w:r>
        <w:rPr>
          <w:rFonts w:hint="eastAsia"/>
        </w:rPr>
        <w:t>此外，引入模式耦合效率与散射损耗的唯象修正，以更真实地反映亚波长结构的非理想效应，最终使数据集的透射率均值约为0.65，与典型全介质超构表面实验值处于相同量级。</w:t>
      </w:r>
    </w:p>
    <w:bookmarkEnd w:id="6"/>
    <w:p w14:paraId="71B49487">
      <w:pPr>
        <w:pStyle w:val="5"/>
        <w:pageBreakBefore w:val="0"/>
        <w:widowControl/>
        <w:kinsoku/>
        <w:wordWrap/>
        <w:overflowPunct/>
        <w:topLinePunct w:val="0"/>
        <w:autoSpaceDE/>
        <w:autoSpaceDN/>
        <w:bidi w:val="0"/>
        <w:adjustRightInd/>
        <w:snapToGrid/>
        <w:spacing w:line="312" w:lineRule="auto"/>
        <w:textAlignment w:val="auto"/>
      </w:pPr>
      <w:bookmarkStart w:id="7" w:name="物理约束与数据筛选"/>
      <w:r>
        <w:t xml:space="preserve">2.3 </w:t>
      </w:r>
      <w:r>
        <w:rPr>
          <w:rFonts w:hint="eastAsia"/>
        </w:rPr>
        <w:t>物理约束与数据筛选</w:t>
      </w:r>
    </w:p>
    <w:p w14:paraId="520BEE9D">
      <w:pPr>
        <w:pStyle w:val="3"/>
        <w:pageBreakBefore w:val="0"/>
        <w:widowControl/>
        <w:kinsoku/>
        <w:wordWrap/>
        <w:overflowPunct/>
        <w:topLinePunct w:val="0"/>
        <w:autoSpaceDE/>
        <w:autoSpaceDN/>
        <w:bidi w:val="0"/>
        <w:adjustRightInd/>
        <w:snapToGrid/>
        <w:spacing w:line="312" w:lineRule="auto"/>
        <w:textAlignment w:val="auto"/>
      </w:pPr>
      <w:r>
        <w:rPr>
          <w:rFonts w:hint="eastAsia"/>
        </w:rPr>
        <w:t>生成数据时，强制执行以下物理判据以保证每个样本的自洽性[8]：</w:t>
      </w:r>
    </w:p>
    <w:p w14:paraId="70C5C9C2">
      <w:pPr>
        <w:pStyle w:val="24"/>
        <w:pageBreakBefore w:val="0"/>
        <w:widowControl/>
        <w:numPr>
          <w:ilvl w:val="0"/>
          <w:numId w:val="1"/>
        </w:numPr>
        <w:kinsoku/>
        <w:wordWrap/>
        <w:overflowPunct/>
        <w:topLinePunct w:val="0"/>
        <w:autoSpaceDE/>
        <w:autoSpaceDN/>
        <w:bidi w:val="0"/>
        <w:adjustRightInd/>
        <w:snapToGrid/>
        <w:spacing w:line="312" w:lineRule="auto"/>
        <w:textAlignment w:val="auto"/>
      </w:pPr>
      <w:r>
        <w:rPr>
          <w:rFonts w:hint="eastAsia"/>
          <w:b/>
          <w:bCs/>
        </w:rPr>
        <w:t>亚波长条件</w:t>
      </w:r>
      <w:r>
        <w:t xml:space="preserve"> </w:t>
      </w:r>
      <m:oMath>
        <m:r>
          <m:rPr/>
          <m:t>p</m:t>
        </m:r>
        <m:r>
          <m:rPr>
            <m:sty m:val="p"/>
          </m:rPr>
          <m:t>&lt;</m:t>
        </m:r>
        <m:sSub>
          <m:sSubPr/>
          <m:e>
            <m:r>
              <m:rPr/>
              <m:t>λ</m:t>
            </m:r>
          </m:e>
          <m:sub>
            <m:r>
              <m:rPr/>
              <m:t>0</m:t>
            </m:r>
          </m:sub>
        </m:sSub>
      </m:oMath>
      <w:r>
        <w:t xml:space="preserve"> — </w:t>
      </w:r>
      <w:r>
        <w:rPr>
          <w:rFonts w:hint="eastAsia"/>
        </w:rPr>
        <w:t>确保仅零级衍射传播，有效介质近似成立；</w:t>
      </w:r>
    </w:p>
    <w:p w14:paraId="42840297">
      <w:pPr>
        <w:pStyle w:val="24"/>
        <w:pageBreakBefore w:val="0"/>
        <w:widowControl/>
        <w:numPr>
          <w:ilvl w:val="0"/>
          <w:numId w:val="1"/>
        </w:numPr>
        <w:kinsoku/>
        <w:wordWrap/>
        <w:overflowPunct/>
        <w:topLinePunct w:val="0"/>
        <w:autoSpaceDE/>
        <w:autoSpaceDN/>
        <w:bidi w:val="0"/>
        <w:adjustRightInd/>
        <w:snapToGrid/>
        <w:spacing w:line="312" w:lineRule="auto"/>
        <w:textAlignment w:val="auto"/>
      </w:pPr>
      <w:r>
        <w:rPr>
          <w:rFonts w:hint="eastAsia"/>
          <w:b/>
          <w:bCs/>
        </w:rPr>
        <w:t>高阶衍射抑制</w:t>
      </w:r>
      <w:r>
        <w:t xml:space="preserve"> </w:t>
      </w:r>
      <m:oMath>
        <m:r>
          <m:rPr/>
          <m:t>p</m:t>
        </m:r>
        <m:r>
          <m:rPr>
            <m:sty m:val="p"/>
          </m:rPr>
          <m:t>&lt;</m:t>
        </m:r>
        <m:sSub>
          <m:sSubPr/>
          <m:e>
            <m:r>
              <m:rPr/>
              <m:t>λ</m:t>
            </m:r>
          </m:e>
          <m:sub>
            <m:r>
              <m:rPr/>
              <m:t>0</m:t>
            </m:r>
          </m:sub>
        </m:sSub>
        <m:r>
          <m:rPr>
            <m:sty m:val="p"/>
          </m:rPr>
          <m:t>/</m:t>
        </m:r>
        <m:sSub>
          <m:sSubPr/>
          <m:e>
            <m:r>
              <m:rPr/>
              <m:t>n</m:t>
            </m:r>
          </m:e>
          <m:sub>
            <m:r>
              <m:rPr>
                <m:nor/>
                <m:sty m:val="p"/>
              </m:rPr>
              <w:rPr>
                <w:b w:val="0"/>
                <w:i w:val="0"/>
              </w:rPr>
              <m:t>sub</m:t>
            </m:r>
          </m:sub>
        </m:sSub>
        <m:r>
          <m:rPr>
            <m:sty m:val="p"/>
          </m:rPr>
          <m:t>≈</m:t>
        </m:r>
        <m:r>
          <m:rPr/>
          <m:t>1073</m:t>
        </m:r>
        <m:r>
          <m:rPr>
            <m:nor/>
            <m:sty m:val="p"/>
          </m:rPr>
          <w:rPr>
            <w:b w:val="0"/>
            <w:i w:val="0"/>
          </w:rPr>
          <m:t>nm</m:t>
        </m:r>
      </m:oMath>
      <w:r>
        <w:t xml:space="preserve"> — </w:t>
      </w:r>
      <w:r>
        <w:rPr>
          <w:rFonts w:hint="eastAsia"/>
        </w:rPr>
        <w:t>消除基底中的寄生衍射级；</w:t>
      </w:r>
    </w:p>
    <w:p w14:paraId="3E5B5B26">
      <w:pPr>
        <w:pStyle w:val="24"/>
        <w:pageBreakBefore w:val="0"/>
        <w:widowControl/>
        <w:numPr>
          <w:ilvl w:val="0"/>
          <w:numId w:val="1"/>
        </w:numPr>
        <w:kinsoku/>
        <w:wordWrap/>
        <w:overflowPunct/>
        <w:topLinePunct w:val="0"/>
        <w:autoSpaceDE/>
        <w:autoSpaceDN/>
        <w:bidi w:val="0"/>
        <w:adjustRightInd/>
        <w:snapToGrid/>
        <w:spacing w:line="312" w:lineRule="auto"/>
        <w:textAlignment w:val="auto"/>
      </w:pPr>
      <w:r>
        <w:rPr>
          <w:rFonts w:hint="eastAsia"/>
          <w:b/>
          <w:bCs/>
        </w:rPr>
        <w:t>基模传输条件</w:t>
      </w:r>
      <w:r>
        <w:t xml:space="preserve"> </w:t>
      </w:r>
      <m:oMath>
        <m:r>
          <m:rPr/>
          <m:t>w</m:t>
        </m:r>
        <m:r>
          <m:rPr>
            <m:sty m:val="p"/>
          </m:rPr>
          <m:t>&gt;</m:t>
        </m:r>
        <m:sSub>
          <m:sSubPr/>
          <m:e>
            <m:r>
              <m:rPr/>
              <m:t>λ</m:t>
            </m:r>
          </m:e>
          <m:sub>
            <m:r>
              <m:rPr/>
              <m:t>0</m:t>
            </m:r>
          </m:sub>
        </m:sSub>
        <m:r>
          <m:rPr>
            <m:sty m:val="p"/>
          </m:rPr>
          <m:t>/(</m:t>
        </m:r>
        <m:r>
          <m:rPr/>
          <m:t>2</m:t>
        </m:r>
        <m:sSub>
          <m:sSubPr/>
          <m:e>
            <m:r>
              <m:rPr/>
              <m:t>n</m:t>
            </m:r>
          </m:e>
          <m:sub>
            <m:r>
              <m:rPr>
                <m:nor/>
                <m:sty m:val="p"/>
              </m:rPr>
              <w:rPr>
                <w:b w:val="0"/>
                <w:i w:val="0"/>
              </w:rPr>
              <m:t>Si</m:t>
            </m:r>
          </m:sub>
        </m:sSub>
        <m:r>
          <m:rPr>
            <m:sty m:val="p"/>
          </m:rPr>
          <m:t>)≈</m:t>
        </m:r>
        <m:r>
          <m:rPr/>
          <m:t>223</m:t>
        </m:r>
        <m:r>
          <m:rPr>
            <m:nor/>
            <m:sty m:val="p"/>
          </m:rPr>
          <w:rPr>
            <w:b w:val="0"/>
            <w:i w:val="0"/>
          </w:rPr>
          <m:t>nm</m:t>
        </m:r>
      </m:oMath>
      <w:r>
        <w:t xml:space="preserve"> — </w:t>
      </w:r>
      <w:r>
        <w:rPr>
          <w:rFonts w:hint="eastAsia"/>
        </w:rPr>
        <w:t>保证波导模式不被截止；</w:t>
      </w:r>
    </w:p>
    <w:p w14:paraId="71FA3117">
      <w:pPr>
        <w:pStyle w:val="24"/>
        <w:pageBreakBefore w:val="0"/>
        <w:widowControl/>
        <w:numPr>
          <w:ilvl w:val="0"/>
          <w:numId w:val="1"/>
        </w:numPr>
        <w:kinsoku/>
        <w:wordWrap/>
        <w:overflowPunct/>
        <w:topLinePunct w:val="0"/>
        <w:autoSpaceDE/>
        <w:autoSpaceDN/>
        <w:bidi w:val="0"/>
        <w:adjustRightInd/>
        <w:snapToGrid/>
        <w:spacing w:line="312" w:lineRule="auto"/>
        <w:textAlignment w:val="auto"/>
      </w:pPr>
      <w:r>
        <w:rPr>
          <w:rFonts w:hint="eastAsia"/>
          <w:b/>
          <w:bCs/>
        </w:rPr>
        <w:t>填充因子约束</w:t>
      </w:r>
      <w:r>
        <w:t xml:space="preserve"> </w:t>
      </w:r>
      <m:oMath>
        <m:r>
          <m:rPr/>
          <m:t>0.1</m:t>
        </m:r>
        <m:r>
          <m:rPr>
            <m:sty m:val="p"/>
          </m:rPr>
          <m:t>≤</m:t>
        </m:r>
        <m:r>
          <m:rPr/>
          <m:t>f</m:t>
        </m:r>
        <m:r>
          <m:rPr>
            <m:sty m:val="p"/>
          </m:rPr>
          <m:t>=</m:t>
        </m:r>
        <m:r>
          <m:rPr/>
          <m:t>w</m:t>
        </m:r>
        <m:r>
          <m:rPr>
            <m:sty m:val="p"/>
          </m:rPr>
          <m:t>/</m:t>
        </m:r>
        <m:r>
          <m:rPr/>
          <m:t>p</m:t>
        </m:r>
        <m:r>
          <m:rPr>
            <m:sty m:val="p"/>
          </m:rPr>
          <m:t>≤</m:t>
        </m:r>
        <m:r>
          <m:rPr/>
          <m:t>0.8</m:t>
        </m:r>
      </m:oMath>
      <w:r>
        <w:t xml:space="preserve"> — </w:t>
      </w:r>
      <w:r>
        <w:rPr>
          <w:rFonts w:hint="eastAsia"/>
        </w:rPr>
        <w:t>符合刻蚀工艺的制造可行性。</w:t>
      </w:r>
    </w:p>
    <w:p w14:paraId="6ACB3967">
      <w:pPr>
        <w:pStyle w:val="3"/>
        <w:pageBreakBefore w:val="0"/>
        <w:widowControl/>
        <w:kinsoku/>
        <w:wordWrap/>
        <w:overflowPunct/>
        <w:topLinePunct w:val="0"/>
        <w:autoSpaceDE/>
        <w:autoSpaceDN/>
        <w:bidi w:val="0"/>
        <w:adjustRightInd/>
        <w:snapToGrid/>
        <w:spacing w:line="312" w:lineRule="auto"/>
        <w:textAlignment w:val="auto"/>
      </w:pPr>
      <w:r>
        <w:rPr>
          <w:rFonts w:hint="eastAsia"/>
        </w:rPr>
        <w:t>采用拉丁超立方采样（LHS）在</w:t>
      </w:r>
      <w:r>
        <w:t xml:space="preserve"> </w:t>
      </w:r>
      <m:oMath>
        <m:r>
          <m:rPr>
            <m:sty m:val="p"/>
          </m:rPr>
          <m:t>(</m:t>
        </m:r>
        <m:r>
          <m:rPr/>
          <m:t>w</m:t>
        </m:r>
        <m:r>
          <m:rPr>
            <m:sty m:val="p"/>
          </m:rPr>
          <m:t>,</m:t>
        </m:r>
        <m:r>
          <m:rPr/>
          <m:t>p</m:t>
        </m:r>
        <m:r>
          <m:rPr>
            <m:sty m:val="p"/>
          </m:rPr>
          <m:t>)</m:t>
        </m:r>
      </m:oMath>
      <w:r>
        <w:t xml:space="preserve"> </w:t>
      </w:r>
      <w:r>
        <w:rPr>
          <w:rFonts w:hint="eastAsia"/>
        </w:rPr>
        <w:t>参数空间中生成5</w:t>
      </w:r>
      <w:r>
        <w:t xml:space="preserve"> </w:t>
      </w:r>
      <w:r>
        <w:rPr>
          <w:rFonts w:hint="eastAsia"/>
        </w:rPr>
        <w:t>000个候选点，经物理筛选后保留4</w:t>
      </w:r>
      <w:r>
        <w:t xml:space="preserve"> </w:t>
      </w:r>
      <w:r>
        <w:rPr>
          <w:rFonts w:hint="eastAsia"/>
        </w:rPr>
        <w:t>552个有效样本（有效率91.0%）。数据集统计特性：透射率</w:t>
      </w:r>
      <w:r>
        <w:t xml:space="preserve"> </w:t>
      </w:r>
      <m:oMath>
        <m:r>
          <m:rPr/>
          <m:t>T</m:t>
        </m:r>
        <m:r>
          <m:rPr>
            <m:sty m:val="p"/>
          </m:rPr>
          <m:t>∈[</m:t>
        </m:r>
        <m:r>
          <m:rPr/>
          <m:t>0.392</m:t>
        </m:r>
        <m:r>
          <m:rPr>
            <m:sty m:val="p"/>
          </m:rPr>
          <m:t>,</m:t>
        </m:r>
        <m:r>
          <m:rPr/>
          <m:t>0.869</m:t>
        </m:r>
        <m:r>
          <m:rPr>
            <m:sty m:val="p"/>
          </m:rPr>
          <m:t>]</m:t>
        </m:r>
      </m:oMath>
      <w:r>
        <w:rPr>
          <w:rFonts w:hint="eastAsia"/>
        </w:rPr>
        <w:t>，均值0.650；相位</w:t>
      </w:r>
      <w:r>
        <w:t xml:space="preserve"> </w:t>
      </w:r>
      <m:oMath>
        <m:r>
          <m:rPr/>
          <m:t>ϕ</m:t>
        </m:r>
        <m:r>
          <m:rPr>
            <m:sty m:val="p"/>
          </m:rPr>
          <m:t>∈[−</m:t>
        </m:r>
        <m:sSup>
          <m:sSupPr/>
          <m:e>
            <m:r>
              <m:rPr/>
              <m:t>180.0</m:t>
            </m:r>
          </m:e>
          <m:sup>
            <m:r>
              <m:rPr>
                <m:sty m:val="p"/>
              </m:rPr>
              <m:t>∘</m:t>
            </m:r>
          </m:sup>
        </m:sSup>
        <m:r>
          <m:rPr>
            <m:sty m:val="p"/>
          </m:rPr>
          <m:t>,</m:t>
        </m:r>
        <m:sSup>
          <m:sSupPr/>
          <m:e>
            <m:r>
              <m:rPr/>
              <m:t>179.9</m:t>
            </m:r>
          </m:e>
          <m:sup>
            <m:r>
              <m:rPr>
                <m:sty m:val="p"/>
              </m:rPr>
              <m:t>∘</m:t>
            </m:r>
          </m:sup>
        </m:sSup>
        <m:r>
          <m:rPr>
            <m:sty m:val="p"/>
          </m:rPr>
          <m:t>]</m:t>
        </m:r>
      </m:oMath>
      <w:r>
        <w:rPr>
          <w:rFonts w:hint="eastAsia"/>
        </w:rPr>
        <w:t>，实现完整360°覆盖。图1给出了数据集的详细可视化。</w:t>
      </w:r>
    </w:p>
    <w:p w14:paraId="2C9604FE">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【插入图1：</w:t>
      </w:r>
      <w:r>
        <w:t xml:space="preserve"> </w:t>
      </w:r>
      <w:r>
        <w:rPr>
          <w:rStyle w:val="48"/>
        </w:rPr>
        <w:t>dataset_visualization.png</w:t>
      </w:r>
      <w:r>
        <w:t xml:space="preserve"> </w:t>
      </w:r>
      <w:r>
        <w:rPr>
          <w:b/>
          <w:bCs/>
        </w:rPr>
        <w:t>】</w:t>
      </w:r>
      <w:r>
        <w:br w:type="textWrapping"/>
      </w:r>
      <w:r>
        <w:rPr>
          <w:rFonts w:hint="eastAsia"/>
          <w:b/>
          <w:bCs/>
        </w:rPr>
        <w:t>图1</w:t>
      </w:r>
      <w:r>
        <w:rPr>
          <w:b/>
          <w:bCs/>
        </w:rPr>
        <w:t xml:space="preserve"> </w:t>
      </w:r>
      <w:r>
        <w:rPr>
          <w:rFonts w:hint="eastAsia"/>
          <w:b/>
          <w:bCs/>
        </w:rPr>
        <w:t>超构表面数据集分析（λ=1550</w:t>
      </w:r>
      <w:r>
        <w:rPr>
          <w:b/>
          <w:bCs/>
        </w:rPr>
        <w:t xml:space="preserve"> </w:t>
      </w:r>
      <w:r>
        <w:rPr>
          <w:rFonts w:hint="eastAsia"/>
          <w:b/>
          <w:bCs/>
        </w:rPr>
        <w:t>nm）</w:t>
      </w:r>
      <w:r>
        <w:br w:type="textWrapping"/>
      </w:r>
      <w:r>
        <w:t xml:space="preserve">(a) </w:t>
      </w:r>
      <w:r>
        <w:rPr>
          <w:rFonts w:hint="eastAsia"/>
        </w:rPr>
        <w:t>相位–宽度关系：透射相位通过宽度和周期的联合调谐可实现约–170°至+170°的连续变化，覆盖完整</w:t>
      </w:r>
      <m:oMath>
        <m:r>
          <m:rPr/>
          <m:t>2π</m:t>
        </m:r>
      </m:oMath>
      <w:r>
        <w:rPr>
          <w:rFonts w:hint="eastAsia"/>
        </w:rPr>
        <w:t>范围；</w:t>
      </w:r>
      <w:r>
        <w:br w:type="textWrapping"/>
      </w:r>
      <w:r>
        <w:t xml:space="preserve">(b) </w:t>
      </w:r>
      <w:r>
        <w:rPr>
          <w:rFonts w:hint="eastAsia"/>
        </w:rPr>
        <w:t>相位分布直方图呈现双峰特征，极端相位样本密度较高；</w:t>
      </w:r>
      <w:r>
        <w:br w:type="textWrapping"/>
      </w:r>
      <w:r>
        <w:t xml:space="preserve">(c) </w:t>
      </w:r>
      <w:r>
        <w:rPr>
          <w:rFonts w:hint="eastAsia"/>
        </w:rPr>
        <w:t>透射率分布集中在0.4–0.8之间，平均效率较高；</w:t>
      </w:r>
      <w:r>
        <w:br w:type="textWrapping"/>
      </w:r>
      <w:r>
        <w:t xml:space="preserve">(d) </w:t>
      </w:r>
      <w:r>
        <w:rPr>
          <w:rFonts w:hint="eastAsia"/>
        </w:rPr>
        <w:t>相位–透射率关系显示中间相位区域可保持较高的透射率（</w:t>
      </w:r>
      <m:oMath>
        <m:r>
          <m:rPr/>
          <m:t>T</m:t>
        </m:r>
        <m:r>
          <m:rPr>
            <m:sty m:val="p"/>
          </m:rPr>
          <m:t>&gt;</m:t>
        </m:r>
        <m:r>
          <m:rPr/>
          <m:t>0.6</m:t>
        </m:r>
      </m:oMath>
      <w:r>
        <w:rPr>
          <w:rFonts w:hint="eastAsia"/>
        </w:rPr>
        <w:t>），极端相位处略有下降，符合共振增强损耗的物理预期。</w:t>
      </w:r>
    </w:p>
    <w:p w14:paraId="5722B2B5">
      <w:pPr>
        <w:pageBreakBefore w:val="0"/>
        <w:widowControl/>
        <w:kinsoku/>
        <w:wordWrap/>
        <w:overflowPunct/>
        <w:topLinePunct w:val="0"/>
        <w:autoSpaceDE/>
        <w:autoSpaceDN/>
        <w:bidi w:val="0"/>
        <w:adjustRightInd/>
        <w:snapToGrid/>
        <w:spacing w:line="312" w:lineRule="auto"/>
        <w:textAlignment w:val="auto"/>
      </w:pPr>
      <w:r>
        <w:pict>
          <v:rect id="_x0000_i1027" o:spt="1" style="height:1.5pt;width:0pt;" coordsize="21600,21600" o:hr="t" o:hrstd="t" o:hralign="center">
            <v:path/>
            <v:fill focussize="0,0"/>
            <v:stroke/>
            <v:imagedata o:title=""/>
            <o:lock v:ext="edit"/>
            <w10:wrap type="none"/>
            <w10:anchorlock/>
          </v:rect>
        </w:pict>
      </w:r>
    </w:p>
    <w:bookmarkEnd w:id="3"/>
    <w:bookmarkEnd w:id="7"/>
    <w:p w14:paraId="18D03355">
      <w:pPr>
        <w:pStyle w:val="4"/>
        <w:pageBreakBefore w:val="0"/>
        <w:widowControl/>
        <w:kinsoku/>
        <w:wordWrap/>
        <w:overflowPunct/>
        <w:topLinePunct w:val="0"/>
        <w:autoSpaceDE/>
        <w:autoSpaceDN/>
        <w:bidi w:val="0"/>
        <w:adjustRightInd/>
        <w:snapToGrid/>
        <w:spacing w:line="312" w:lineRule="auto"/>
        <w:textAlignment w:val="auto"/>
      </w:pPr>
      <w:bookmarkStart w:id="8" w:name="深度学习框架"/>
      <w:r>
        <w:t xml:space="preserve">3. </w:t>
      </w:r>
      <w:r>
        <w:rPr>
          <w:rFonts w:hint="eastAsia"/>
        </w:rPr>
        <w:t>深度学习框架</w:t>
      </w:r>
    </w:p>
    <w:p w14:paraId="6BAD3A5B">
      <w:pPr>
        <w:pStyle w:val="5"/>
        <w:pageBreakBefore w:val="0"/>
        <w:widowControl/>
        <w:kinsoku/>
        <w:wordWrap/>
        <w:overflowPunct/>
        <w:topLinePunct w:val="0"/>
        <w:autoSpaceDE/>
        <w:autoSpaceDN/>
        <w:bidi w:val="0"/>
        <w:adjustRightInd/>
        <w:snapToGrid/>
        <w:spacing w:line="312" w:lineRule="auto"/>
        <w:textAlignment w:val="auto"/>
      </w:pPr>
      <w:bookmarkStart w:id="9" w:name="整体思路与tandem架构"/>
      <w:r>
        <w:t xml:space="preserve">3.1 </w:t>
      </w:r>
      <w:r>
        <w:rPr>
          <w:rFonts w:hint="eastAsia"/>
        </w:rPr>
        <w:t>整体思路与Tandem架构</w:t>
      </w:r>
    </w:p>
    <w:p w14:paraId="054A069B">
      <w:pPr>
        <w:pStyle w:val="3"/>
        <w:pageBreakBefore w:val="0"/>
        <w:widowControl/>
        <w:kinsoku/>
        <w:wordWrap/>
        <w:overflowPunct/>
        <w:topLinePunct w:val="0"/>
        <w:autoSpaceDE/>
        <w:autoSpaceDN/>
        <w:bidi w:val="0"/>
        <w:adjustRightInd/>
        <w:snapToGrid/>
        <w:spacing w:line="312" w:lineRule="auto"/>
        <w:textAlignment w:val="auto"/>
      </w:pPr>
      <w:r>
        <w:rPr>
          <w:rFonts w:hint="eastAsia"/>
        </w:rPr>
        <w:t>逆设计任务定义为学习映射</w:t>
      </w:r>
      <w:r>
        <w:t xml:space="preserve"> </w:t>
      </w:r>
      <m:oMath>
        <m:r>
          <m:rPr/>
          <m:t>g</m:t>
        </m:r>
        <m:r>
          <m:rPr>
            <m:sty m:val="p"/>
          </m:rPr>
          <m:t>:</m:t>
        </m:r>
        <m:sSub>
          <m:sSubPr/>
          <m:e>
            <m:r>
              <m:rPr/>
              <m:t>ϕ</m:t>
            </m:r>
          </m:e>
          <m:sub>
            <m:r>
              <m:rPr>
                <m:nor/>
                <m:sty m:val="p"/>
              </m:rPr>
              <w:rPr>
                <w:b w:val="0"/>
                <w:i w:val="0"/>
              </w:rPr>
              <m:t>target</m:t>
            </m:r>
          </m:sub>
        </m:sSub>
        <m:r>
          <m:rPr>
            <m:sty m:val="p"/>
          </m:rPr>
          <m:t>↦(</m:t>
        </m:r>
        <m:r>
          <m:rPr/>
          <m:t>w</m:t>
        </m:r>
        <m:r>
          <m:rPr>
            <m:sty m:val="p"/>
          </m:rPr>
          <m:t>,</m:t>
        </m:r>
        <m:r>
          <m:rPr/>
          <m:t>p</m:t>
        </m:r>
        <m:r>
          <m:rPr>
            <m:sty m:val="p"/>
          </m:rPr>
          <m:t>)</m:t>
        </m:r>
      </m:oMath>
      <w:r>
        <w:rPr>
          <w:rFonts w:hint="eastAsia"/>
        </w:rPr>
        <w:t>。由于一个目标相位对应多个可行几何解（非唯一性），直接监督学习会使网络输出趋于多解的平均，导致物理不可实现的“模糊结构”。为此，我们采用Tandem串联网络架构[2]，其核心思想是将正向物理代理模型作为闭环约束，将逆问题重新表述为“寻找一个结构，使其经过正向模型后与目标响应一致”。这一过程将优化从解空间（结构参数）转移到响应空间（相位），自动规避多解性问题。</w:t>
      </w:r>
    </w:p>
    <w:p w14:paraId="7206C630">
      <w:pPr>
        <w:pStyle w:val="3"/>
        <w:pageBreakBefore w:val="0"/>
        <w:widowControl/>
        <w:kinsoku/>
        <w:wordWrap/>
        <w:overflowPunct/>
        <w:topLinePunct w:val="0"/>
        <w:autoSpaceDE/>
        <w:autoSpaceDN/>
        <w:bidi w:val="0"/>
        <w:adjustRightInd/>
        <w:snapToGrid/>
        <w:spacing w:line="312" w:lineRule="auto"/>
        <w:textAlignment w:val="auto"/>
      </w:pPr>
      <w:r>
        <w:rPr>
          <w:rFonts w:hint="eastAsia"/>
        </w:rPr>
        <w:t>Tandem网络由两个子模块构成：</w:t>
      </w:r>
    </w:p>
    <w:p w14:paraId="47DEDE06">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t>ϕ</m:t>
              </m:r>
            </m:e>
            <m:sub>
              <m:r>
                <m:rPr>
                  <m:nor/>
                  <m:sty m:val="p"/>
                </m:rPr>
                <w:rPr>
                  <w:b w:val="0"/>
                  <w:i w:val="0"/>
                </w:rPr>
                <m:t>target</m:t>
              </m:r>
            </m:sub>
          </m:sSub>
          <m:limUpp>
            <m:limUppPr/>
            <m:e>
              <m:r>
                <m:rPr>
                  <m:sty m:val="p"/>
                </m:rPr>
                <m:t>→</m:t>
              </m:r>
            </m:e>
            <m:lim>
              <m:r>
                <m:rPr/>
                <m:t>  g  </m:t>
              </m:r>
            </m:lim>
          </m:limUpp>
          <m:r>
            <m:rPr>
              <m:sty m:val="p"/>
            </m:rPr>
            <m:t>(</m:t>
          </m:r>
          <m:acc>
            <m:accPr/>
            <m:e>
              <m:r>
                <m:rPr/>
                <m:t>w</m:t>
              </m:r>
            </m:e>
          </m:acc>
          <m:r>
            <m:rPr>
              <m:sty m:val="p"/>
            </m:rPr>
            <m:t>,</m:t>
          </m:r>
          <m:acc>
            <m:accPr/>
            <m:e>
              <m:r>
                <m:rPr/>
                <m:t>p</m:t>
              </m:r>
            </m:e>
          </m:acc>
          <m:r>
            <m:rPr>
              <m:sty m:val="p"/>
            </m:rPr>
            <m:t>)</m:t>
          </m:r>
          <m:limUpp>
            <m:limUppPr/>
            <m:e>
              <m:r>
                <m:rPr>
                  <m:sty m:val="p"/>
                </m:rPr>
                <m:t>→</m:t>
              </m:r>
            </m:e>
            <m:lim>
              <m:r>
                <m:rPr/>
                <m:t>  f  </m:t>
              </m:r>
            </m:lim>
          </m:limUpp>
          <m:acc>
            <m:accPr/>
            <m:e>
              <m:r>
                <m:rPr/>
                <m:t>ϕ</m:t>
              </m:r>
            </m:e>
          </m:acc>
          <m:r>
            <m:rPr>
              <m:sty m:val="p"/>
            </m:rPr>
            <m:t>,</m:t>
          </m:r>
          <m:r>
            <m:rPr/>
            <m:t>  </m:t>
          </m:r>
          <m:r>
            <m:rPr>
              <m:nor/>
              <m:sty m:val="p"/>
            </m:rPr>
            <w:rPr>
              <w:b w:val="0"/>
              <w:i w:val="0"/>
            </w:rPr>
            <m:t>损失:</m:t>
          </m:r>
          <m:r>
            <m:rPr>
              <m:sty m:val="p"/>
              <m:scr m:val="script"/>
            </m:rPr>
            <m:t>ℒ</m:t>
          </m:r>
          <m:r>
            <m:rPr>
              <m:sty m:val="p"/>
            </m:rPr>
            <m:t>(</m:t>
          </m:r>
          <m:acc>
            <m:accPr/>
            <m:e>
              <m:r>
                <m:rPr/>
                <m:t>ϕ</m:t>
              </m:r>
            </m:e>
          </m:acc>
          <m:r>
            <m:rPr>
              <m:sty m:val="p"/>
            </m:rPr>
            <m:t>,</m:t>
          </m:r>
          <m:sSub>
            <m:sSubPr/>
            <m:e>
              <m:r>
                <m:rPr/>
                <m:t>ϕ</m:t>
              </m:r>
            </m:e>
            <m:sub>
              <m:r>
                <m:rPr>
                  <m:nor/>
                  <m:sty m:val="p"/>
                </m:rPr>
                <w:rPr>
                  <w:b w:val="0"/>
                  <w:i w:val="0"/>
                </w:rPr>
                <m:t>target</m:t>
              </m:r>
            </m:sub>
          </m:sSub>
          <m:r>
            <m:rPr>
              <m:sty m:val="p"/>
            </m:rPr>
            <m:t>).</m:t>
          </m:r>
        </m:oMath>
      </m:oMathPara>
    </w:p>
    <w:p w14:paraId="24737D37">
      <w:pPr>
        <w:pStyle w:val="3"/>
        <w:pageBreakBefore w:val="0"/>
        <w:widowControl/>
        <w:kinsoku/>
        <w:wordWrap/>
        <w:overflowPunct/>
        <w:topLinePunct w:val="0"/>
        <w:autoSpaceDE/>
        <w:autoSpaceDN/>
        <w:bidi w:val="0"/>
        <w:adjustRightInd/>
        <w:snapToGrid/>
        <w:spacing w:line="312" w:lineRule="auto"/>
        <w:textAlignment w:val="auto"/>
      </w:pPr>
      <w:r>
        <w:rPr>
          <w:rFonts w:hint="eastAsia"/>
        </w:rPr>
        <w:t>其中</w:t>
      </w:r>
      <w:r>
        <w:t xml:space="preserve"> </w:t>
      </w:r>
      <m:oMath>
        <m:r>
          <m:rPr/>
          <m:t>f</m:t>
        </m:r>
      </m:oMath>
      <w:r>
        <w:t xml:space="preserve"> </w:t>
      </w:r>
      <w:r>
        <w:rPr>
          <w:rFonts w:hint="eastAsia"/>
        </w:rPr>
        <w:t>为预训练并冻结的正向网络，</w:t>
      </w:r>
      <m:oMath>
        <m:r>
          <m:rPr/>
          <m:t>g</m:t>
        </m:r>
      </m:oMath>
      <w:r>
        <w:t xml:space="preserve"> </w:t>
      </w:r>
      <w:r>
        <w:rPr>
          <w:rFonts w:hint="eastAsia"/>
        </w:rPr>
        <w:t>为待训练的逆向网络。</w:t>
      </w:r>
    </w:p>
    <w:bookmarkEnd w:id="9"/>
    <w:p w14:paraId="6DA557DB">
      <w:pPr>
        <w:pStyle w:val="5"/>
        <w:pageBreakBefore w:val="0"/>
        <w:widowControl/>
        <w:kinsoku/>
        <w:wordWrap/>
        <w:overflowPunct/>
        <w:topLinePunct w:val="0"/>
        <w:autoSpaceDE/>
        <w:autoSpaceDN/>
        <w:bidi w:val="0"/>
        <w:adjustRightInd/>
        <w:snapToGrid/>
        <w:spacing w:line="312" w:lineRule="auto"/>
        <w:textAlignment w:val="auto"/>
      </w:pPr>
      <w:bookmarkStart w:id="10" w:name="正向网络物理代理模型"/>
      <w:r>
        <w:t xml:space="preserve">3.2 </w:t>
      </w:r>
      <w:r>
        <w:rPr>
          <w:rFonts w:hint="eastAsia"/>
        </w:rPr>
        <w:t>正向网络——物理代理模型</w:t>
      </w:r>
    </w:p>
    <w:p w14:paraId="13D5959E">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目的</w:t>
      </w:r>
      <w:r>
        <w:rPr>
          <w:rFonts w:hint="eastAsia"/>
        </w:rPr>
        <w:t>：学习映射</w:t>
      </w:r>
      <w:r>
        <w:t xml:space="preserve"> </w:t>
      </w:r>
      <m:oMath>
        <m:r>
          <m:rPr/>
          <m:t>f</m:t>
        </m:r>
        <m:r>
          <m:rPr>
            <m:sty m:val="p"/>
          </m:rPr>
          <m:t>:(</m:t>
        </m:r>
        <m:r>
          <m:rPr/>
          <m:t>w</m:t>
        </m:r>
        <m:r>
          <m:rPr>
            <m:sty m:val="p"/>
          </m:rPr>
          <m:t>,</m:t>
        </m:r>
        <m:r>
          <m:rPr/>
          <m:t>p</m:t>
        </m:r>
        <m:r>
          <m:rPr>
            <m:sty m:val="p"/>
          </m:rPr>
          <m:t>)↦</m:t>
        </m:r>
        <m:r>
          <m:rPr/>
          <m:t>ϕ</m:t>
        </m:r>
      </m:oMath>
      <w:r>
        <w:rPr>
          <w:rFonts w:hint="eastAsia"/>
        </w:rPr>
        <w:t>，作为电磁仿真器的快速可微替代品。</w:t>
      </w:r>
    </w:p>
    <w:p w14:paraId="76CEAA4F">
      <w:pPr>
        <w:pStyle w:val="3"/>
        <w:pageBreakBefore w:val="0"/>
        <w:widowControl/>
        <w:kinsoku/>
        <w:wordWrap/>
        <w:overflowPunct/>
        <w:topLinePunct w:val="0"/>
        <w:autoSpaceDE/>
        <w:autoSpaceDN/>
        <w:bidi w:val="0"/>
        <w:adjustRightInd/>
        <w:snapToGrid/>
        <w:spacing w:line="312" w:lineRule="auto"/>
        <w:textAlignment w:val="auto"/>
      </w:pPr>
      <w:r>
        <w:rPr>
          <w:rFonts w:hint="eastAsia"/>
        </w:rPr>
        <w:t>为解决相位在±180°处的数值不连续问题，网络不直接输出相位角，而是输出复透射系数的单位圆分量：</w:t>
      </w:r>
    </w:p>
    <w:p w14:paraId="766611C5">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r>
            <m:rPr>
              <m:sty m:val="b"/>
            </m:rPr>
            <m:t>o</m:t>
          </m:r>
          <m:r>
            <m:rPr>
              <m:sty m:val="p"/>
            </m:rPr>
            <m:t>=</m:t>
          </m:r>
          <m:d>
            <m:dPr>
              <m:sepChr m:val=""/>
            </m:dPr>
            <m:e>
              <m:m>
                <m:mPr>
                  <m:mcs>
                    <m:mc>
                      <m:mcPr>
                        <m:count m:val="1"/>
                        <m:mcJc m:val="center"/>
                      </m:mcPr>
                    </m:mc>
                  </m:mcs>
                  <m:plcHide m:val="1"/>
                </m:mPr>
                <m:mr>
                  <m:e>
                    <m:sSub>
                      <m:sSubPr/>
                      <m:e>
                        <m:r>
                          <m:rPr/>
                          <m:t>o</m:t>
                        </m:r>
                      </m:e>
                      <m:sub>
                        <m:r>
                          <m:rPr/>
                          <m:t>1</m:t>
                        </m:r>
                      </m:sub>
                    </m:sSub>
                  </m:e>
                </m:mr>
                <m:mr>
                  <m:e>
                    <m:sSub>
                      <m:sSubPr/>
                      <m:e>
                        <m:r>
                          <m:rPr/>
                          <m:t>o</m:t>
                        </m:r>
                      </m:e>
                      <m:sub>
                        <m:r>
                          <m:rPr/>
                          <m:t>2</m:t>
                        </m:r>
                      </m:sub>
                    </m:sSub>
                  </m:e>
                </m:mr>
              </m:m>
            </m:e>
          </m:d>
          <m:limUpp>
            <m:limUppPr/>
            <m:e>
              <m:r>
                <m:rPr>
                  <m:sty m:val="p"/>
                </m:rPr>
                <m:t>→</m:t>
              </m:r>
            </m:e>
            <m:lim>
              <m:r>
                <m:rPr>
                  <m:nor/>
                  <m:sty m:val="p"/>
                </m:rPr>
                <w:rPr>
                  <w:b w:val="0"/>
                  <w:i w:val="0"/>
                </w:rPr>
                <m:t>归一化</m:t>
              </m:r>
            </m:lim>
          </m:limUpp>
          <m:d>
            <m:dPr>
              <m:sepChr m:val=""/>
            </m:dPr>
            <m:e>
              <m:m>
                <m:mPr>
                  <m:mcs>
                    <m:mc>
                      <m:mcPr>
                        <m:count m:val="1"/>
                        <m:mcJc m:val="center"/>
                      </m:mcPr>
                    </m:mc>
                  </m:mcs>
                  <m:plcHide m:val="1"/>
                </m:mPr>
                <m:mr>
                  <m:e>
                    <m:r>
                      <m:rPr>
                        <m:sty m:val="p"/>
                      </m:rPr>
                      <m:t>sin</m:t>
                    </m:r>
                    <m:r>
                      <m:rPr/>
                      <m:t>ϕ</m:t>
                    </m:r>
                  </m:e>
                </m:mr>
                <m:mr>
                  <m:e>
                    <m:r>
                      <m:rPr>
                        <m:sty m:val="p"/>
                      </m:rPr>
                      <m:t>cos</m:t>
                    </m:r>
                    <m:r>
                      <m:rPr/>
                      <m:t>ϕ</m:t>
                    </m:r>
                  </m:e>
                </m:mr>
              </m:m>
            </m:e>
          </m:d>
          <m:r>
            <m:rPr>
              <m:sty m:val="p"/>
            </m:rPr>
            <m:t>.</m:t>
          </m:r>
        </m:oMath>
      </m:oMathPara>
    </w:p>
    <w:p w14:paraId="314E9E68">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网络结构</w:t>
      </w:r>
      <w:r>
        <w:rPr>
          <w:rFonts w:hint="eastAsia"/>
        </w:rPr>
        <w:t>：多层感知机（MLP），输入2维（归一化后的</w:t>
      </w:r>
      <w:r>
        <w:t xml:space="preserve"> </w:t>
      </w:r>
      <m:oMath>
        <m:r>
          <m:rPr/>
          <m:t>w</m:t>
        </m:r>
        <m:r>
          <m:rPr>
            <m:sty m:val="p"/>
          </m:rPr>
          <m:t>,</m:t>
        </m:r>
        <m:r>
          <m:rPr/>
          <m:t>p</m:t>
        </m:r>
      </m:oMath>
      <w:r>
        <w:rPr>
          <w:rFonts w:hint="eastAsia"/>
        </w:rPr>
        <w:t>），输出2维（</w:t>
      </w:r>
      <m:oMath>
        <m:r>
          <m:rPr>
            <m:sty m:val="p"/>
          </m:rPr>
          <m:t>sin</m:t>
        </m:r>
        <m:r>
          <m:rPr/>
          <m:t>ϕ</m:t>
        </m:r>
        <m:r>
          <m:rPr>
            <m:sty m:val="p"/>
          </m:rPr>
          <m:t>,cos</m:t>
        </m:r>
        <m:r>
          <m:rPr/>
          <m:t>ϕ</m:t>
        </m:r>
      </m:oMath>
      <w:r>
        <w:rPr>
          <w:rFonts w:hint="eastAsia"/>
        </w:rPr>
        <w:t>），隐藏层配置为</w:t>
      </w:r>
      <w:r>
        <w:t xml:space="preserve"> </w:t>
      </w:r>
      <m:oMath>
        <m:r>
          <m:rPr>
            <m:sty m:val="p"/>
          </m:rPr>
          <m:t>[</m:t>
        </m:r>
        <m:r>
          <m:rPr/>
          <m:t>256</m:t>
        </m:r>
        <m:r>
          <m:rPr>
            <m:sty m:val="p"/>
          </m:rPr>
          <m:t>,</m:t>
        </m:r>
        <m:r>
          <m:rPr/>
          <m:t>512</m:t>
        </m:r>
        <m:r>
          <m:rPr>
            <m:sty m:val="p"/>
          </m:rPr>
          <m:t>,</m:t>
        </m:r>
        <m:r>
          <m:rPr/>
          <m:t>512</m:t>
        </m:r>
        <m:r>
          <m:rPr>
            <m:sty m:val="p"/>
          </m:rPr>
          <m:t>,</m:t>
        </m:r>
        <m:r>
          <m:rPr/>
          <m:t>256</m:t>
        </m:r>
        <m:r>
          <m:rPr>
            <m:sty m:val="p"/>
          </m:rPr>
          <m:t>,</m:t>
        </m:r>
        <m:r>
          <m:rPr/>
          <m:t>128</m:t>
        </m:r>
        <m:r>
          <m:rPr>
            <m:sty m:val="p"/>
          </m:rPr>
          <m:t>]</m:t>
        </m:r>
      </m:oMath>
      <w:r>
        <w:rPr>
          <w:rFonts w:hint="eastAsia"/>
        </w:rPr>
        <w:t>，各层后接批归一化（BatchNorm）和LeakyReLU(0.1)激活函数，并施加Dropout=0.05的正则化。输出层通过显式归一化</w:t>
      </w:r>
      <w:r>
        <w:t xml:space="preserve"> </w:t>
      </w:r>
      <m:oMath>
        <m:r>
          <m:rPr>
            <m:sty m:val="b"/>
          </m:rPr>
          <m:t>o</m:t>
        </m:r>
        <m:r>
          <m:rPr>
            <m:sty m:val="p"/>
          </m:rPr>
          <m:t>/∥</m:t>
        </m:r>
        <m:r>
          <m:rPr>
            <m:sty m:val="b"/>
          </m:rPr>
          <m:t>o</m:t>
        </m:r>
        <m:r>
          <m:rPr>
            <m:sty m:val="p"/>
          </m:rPr>
          <m:t>∥</m:t>
        </m:r>
      </m:oMath>
      <w:r>
        <w:t xml:space="preserve"> </w:t>
      </w:r>
      <w:r>
        <w:rPr>
          <w:rFonts w:hint="eastAsia"/>
        </w:rPr>
        <w:t>保证预测的</w:t>
      </w:r>
      <w:r>
        <w:t xml:space="preserve"> </w:t>
      </w:r>
      <m:oMath>
        <m:r>
          <m:rPr>
            <m:sty m:val="p"/>
          </m:rPr>
          <m:t>(sin,cos)</m:t>
        </m:r>
      </m:oMath>
      <w:r>
        <w:t xml:space="preserve"> </w:t>
      </w:r>
      <w:r>
        <w:rPr>
          <w:rFonts w:hint="eastAsia"/>
        </w:rPr>
        <w:t>始终位于单位圆上。</w:t>
      </w:r>
    </w:p>
    <w:p w14:paraId="0B569240">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损失函数</w:t>
      </w:r>
      <w:r>
        <w:rPr>
          <w:rFonts w:hint="eastAsia"/>
        </w:rPr>
        <w:t>：</w:t>
      </w:r>
    </w:p>
    <w:p w14:paraId="6F12CCF7">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sty m:val="p"/>
                  <m:scr m:val="script"/>
                </m:rPr>
                <m:t>ℒ</m:t>
              </m:r>
            </m:e>
            <m:sub>
              <m:r>
                <m:rPr>
                  <m:nor/>
                  <m:sty m:val="p"/>
                </m:rPr>
                <w:rPr>
                  <w:b w:val="0"/>
                  <w:i w:val="0"/>
                </w:rPr>
                <m:t>forward</m:t>
              </m:r>
            </m:sub>
          </m:sSub>
          <m:r>
            <m:rPr>
              <m:sty m:val="p"/>
            </m:rPr>
            <m:t>=</m:t>
          </m:r>
          <m:limLow>
            <m:limLowPr/>
            <m:e>
              <m:limLow>
                <m:limLowPr/>
                <m:e>
                  <m:r>
                    <m:rPr>
                      <m:nor/>
                      <m:sty m:val="p"/>
                    </m:rPr>
                    <w:rPr>
                      <w:b w:val="0"/>
                      <w:i w:val="0"/>
                    </w:rPr>
                    <m:t>MSE</m:t>
                  </m:r>
                  <m:r>
                    <m:rPr>
                      <m:sty m:val="p"/>
                    </m:rPr>
                    <m:t>(</m:t>
                  </m:r>
                  <m:acc>
                    <m:accPr/>
                    <m:e>
                      <m:r>
                        <m:rPr/>
                        <m:t>s</m:t>
                      </m:r>
                    </m:e>
                  </m:acc>
                  <m:r>
                    <m:rPr>
                      <m:sty m:val="p"/>
                    </m:rPr>
                    <m:t>,</m:t>
                  </m:r>
                  <m:sSub>
                    <m:sSubPr/>
                    <m:e>
                      <m:r>
                        <m:rPr/>
                        <m:t>s</m:t>
                      </m:r>
                    </m:e>
                    <m:sub>
                      <m:r>
                        <m:rPr>
                          <m:nor/>
                          <m:sty m:val="p"/>
                        </m:rPr>
                        <w:rPr>
                          <w:b w:val="0"/>
                          <w:i w:val="0"/>
                        </w:rPr>
                        <m:t>true</m:t>
                      </m:r>
                    </m:sub>
                  </m:sSub>
                  <m:r>
                    <m:rPr>
                      <m:sty m:val="p"/>
                    </m:rPr>
                    <m:t>)+</m:t>
                  </m:r>
                  <m:r>
                    <m:rPr>
                      <m:nor/>
                      <m:sty m:val="p"/>
                    </m:rPr>
                    <m:t>MSE</m:t>
                  </m:r>
                  <m:r>
                    <m:rPr>
                      <m:sty m:val="p"/>
                    </m:rPr>
                    <m:t>(</m:t>
                  </m:r>
                  <m:acc>
                    <m:accPr/>
                    <m:e>
                      <m:r>
                        <m:rPr/>
                        <m:t>c</m:t>
                      </m:r>
                    </m:e>
                  </m:acc>
                  <m:r>
                    <m:rPr>
                      <m:sty m:val="p"/>
                    </m:rPr>
                    <m:t>,</m:t>
                  </m:r>
                  <m:sSub>
                    <m:sSubPr/>
                    <m:e>
                      <m:r>
                        <m:rPr/>
                        <m:t>c</m:t>
                      </m:r>
                    </m:e>
                    <m:sub>
                      <m:r>
                        <m:rPr>
                          <m:nor/>
                          <m:sty m:val="p"/>
                        </m:rPr>
                        <w:rPr>
                          <w:b w:val="0"/>
                          <w:i w:val="0"/>
                        </w:rPr>
                        <m:t>true</m:t>
                      </m:r>
                    </m:sub>
                  </m:sSub>
                  <m:r>
                    <m:rPr>
                      <m:sty m:val="p"/>
                    </m:rPr>
                    <m:t>)</m:t>
                  </m:r>
                </m:e>
                <m:lim>
                  <m:r>
                    <m:rPr>
                      <m:sty m:val="p"/>
                    </m:rPr>
                    <m:t>⏟</m:t>
                  </m:r>
                </m:lim>
              </m:limLow>
            </m:e>
            <m:lim>
              <m:r>
                <m:rPr>
                  <m:nor/>
                  <m:sty m:val="p"/>
                </m:rPr>
                <w:rPr>
                  <w:b w:val="0"/>
                  <w:i w:val="0"/>
                </w:rPr>
                <m:t>sin/cos匹配</m:t>
              </m:r>
            </m:lim>
          </m:limLow>
          <m:r>
            <m:rPr>
              <m:sty m:val="p"/>
            </m:rPr>
            <m:t>+</m:t>
          </m:r>
          <m:r>
            <m:rPr/>
            <m:t>α </m:t>
          </m:r>
          <m:limLow>
            <m:limLowPr/>
            <m:e>
              <m:limLow>
                <m:limLowPr/>
                <m:e>
                  <m:r>
                    <m:rPr>
                      <m:sty m:val="p"/>
                      <m:scr m:val="double-struck"/>
                    </m:rPr>
                    <m:t>E</m:t>
                  </m:r>
                  <m:d>
                    <m:dPr>
                      <m:begChr m:val="["/>
                      <m:sepChr m:val=""/>
                      <m:endChr m:val="]"/>
                    </m:dPr>
                    <m:e>
                      <m:r>
                        <m:rPr/>
                        <m:t> </m:t>
                      </m:r>
                      <m:r>
                        <m:rPr>
                          <m:sty m:val="p"/>
                        </m:rPr>
                        <m:t>∥</m:t>
                      </m:r>
                      <m:r>
                        <m:rPr>
                          <m:sty m:val="b"/>
                        </m:rPr>
                        <m:t>o</m:t>
                      </m:r>
                      <m:r>
                        <m:rPr>
                          <m:sty m:val="p"/>
                        </m:rPr>
                        <m:t>∥−</m:t>
                      </m:r>
                      <m:r>
                        <m:rPr/>
                        <m:t>1 </m:t>
                      </m:r>
                    </m:e>
                  </m:d>
                </m:e>
                <m:lim>
                  <m:r>
                    <m:rPr>
                      <m:sty m:val="p"/>
                    </m:rPr>
                    <m:t>⏟</m:t>
                  </m:r>
                </m:lim>
              </m:limLow>
            </m:e>
            <m:lim>
              <m:r>
                <m:rPr>
                  <m:nor/>
                  <m:sty m:val="p"/>
                </m:rPr>
                <w:rPr>
                  <w:b w:val="0"/>
                  <w:i w:val="0"/>
                </w:rPr>
                <m:t>单位模约束</m:t>
              </m:r>
            </m:lim>
          </m:limLow>
          <m:r>
            <m:rPr>
              <m:sty m:val="p"/>
            </m:rPr>
            <m:t>+</m:t>
          </m:r>
          <m:r>
            <m:rPr/>
            <m:t>β </m:t>
          </m:r>
          <m:limLow>
            <m:limLowPr/>
            <m:e>
              <m:limLow>
                <m:limLowPr/>
                <m:e>
                  <m:r>
                    <m:rPr>
                      <m:sty m:val="p"/>
                      <m:scr m:val="double-struck"/>
                    </m:rPr>
                    <m:t>E</m:t>
                  </m:r>
                  <m:d>
                    <m:dPr>
                      <m:begChr m:val="["/>
                      <m:sepChr m:val=""/>
                      <m:endChr m:val="]"/>
                    </m:dPr>
                    <m:e>
                      <m:r>
                        <m:rPr/>
                        <m:t> </m:t>
                      </m:r>
                      <m:r>
                        <m:rPr>
                          <m:sty m:val="p"/>
                        </m:rPr>
                        <m:t>min(|</m:t>
                      </m:r>
                      <m:acc>
                        <m:accPr/>
                        <m:e>
                          <m:r>
                            <m:rPr/>
                            <m:t>ϕ</m:t>
                          </m:r>
                        </m:e>
                      </m:acc>
                      <m:r>
                        <m:rPr>
                          <m:sty m:val="p"/>
                        </m:rPr>
                        <m:t>−</m:t>
                      </m:r>
                      <m:sSub>
                        <m:sSubPr/>
                        <m:e>
                          <m:r>
                            <m:rPr/>
                            <m:t>ϕ</m:t>
                          </m:r>
                        </m:e>
                        <m:sub>
                          <m:r>
                            <m:rPr>
                              <m:nor/>
                              <m:sty m:val="p"/>
                            </m:rPr>
                            <w:rPr>
                              <w:b w:val="0"/>
                              <w:i w:val="0"/>
                            </w:rPr>
                            <m:t>true</m:t>
                          </m:r>
                        </m:sub>
                      </m:sSub>
                      <m:r>
                        <m:rPr>
                          <m:sty m:val="p"/>
                        </m:rPr>
                        <m:t>|,</m:t>
                      </m:r>
                      <m:r>
                        <m:rPr/>
                        <m:t>2π</m:t>
                      </m:r>
                      <m:r>
                        <m:rPr>
                          <m:sty m:val="p"/>
                        </m:rPr>
                        <m:t>−|</m:t>
                      </m:r>
                      <m:acc>
                        <m:accPr/>
                        <m:e>
                          <m:r>
                            <m:rPr/>
                            <m:t>ϕ</m:t>
                          </m:r>
                        </m:e>
                      </m:acc>
                      <m:r>
                        <m:rPr>
                          <m:sty m:val="p"/>
                        </m:rPr>
                        <m:t>−</m:t>
                      </m:r>
                      <m:sSub>
                        <m:sSubPr/>
                        <m:e>
                          <m:r>
                            <m:rPr/>
                            <m:t>ϕ</m:t>
                          </m:r>
                        </m:e>
                        <m:sub>
                          <m:r>
                            <m:rPr>
                              <m:nor/>
                              <m:sty m:val="p"/>
                            </m:rPr>
                            <w:rPr>
                              <w:b w:val="0"/>
                              <w:i w:val="0"/>
                            </w:rPr>
                            <m:t>true</m:t>
                          </m:r>
                        </m:sub>
                      </m:sSub>
                      <m:r>
                        <m:rPr>
                          <m:sty m:val="p"/>
                        </m:rPr>
                        <m:t>|)</m:t>
                      </m:r>
                      <m:r>
                        <m:rPr/>
                        <m:t> </m:t>
                      </m:r>
                    </m:e>
                  </m:d>
                </m:e>
                <m:lim>
                  <m:r>
                    <m:rPr>
                      <m:sty m:val="p"/>
                    </m:rPr>
                    <m:t>⏟</m:t>
                  </m:r>
                </m:lim>
              </m:limLow>
            </m:e>
            <m:lim>
              <m:r>
                <m:rPr>
                  <m:nor/>
                  <m:sty m:val="p"/>
                </m:rPr>
                <w:rPr>
                  <w:b w:val="0"/>
                  <w:i w:val="0"/>
                </w:rPr>
                <m:t>角度直接监督</m:t>
              </m:r>
            </m:lim>
          </m:limLow>
          <m:r>
            <m:rPr>
              <m:sty m:val="p"/>
            </m:rPr>
            <m:t>,</m:t>
          </m:r>
        </m:oMath>
      </m:oMathPara>
    </w:p>
    <w:p w14:paraId="7AC5E0AC">
      <w:pPr>
        <w:pStyle w:val="3"/>
        <w:pageBreakBefore w:val="0"/>
        <w:widowControl/>
        <w:kinsoku/>
        <w:wordWrap/>
        <w:overflowPunct/>
        <w:topLinePunct w:val="0"/>
        <w:autoSpaceDE/>
        <w:autoSpaceDN/>
        <w:bidi w:val="0"/>
        <w:adjustRightInd/>
        <w:snapToGrid/>
        <w:spacing w:line="312" w:lineRule="auto"/>
        <w:textAlignment w:val="auto"/>
      </w:pPr>
      <w:r>
        <w:rPr>
          <w:rFonts w:hint="eastAsia"/>
        </w:rPr>
        <w:t>其中</w:t>
      </w:r>
      <w:r>
        <w:t xml:space="preserve"> </w:t>
      </w:r>
      <m:oMath>
        <m:r>
          <m:rPr/>
          <m:t>s</m:t>
        </m:r>
        <m:r>
          <m:rPr>
            <m:sty m:val="p"/>
          </m:rPr>
          <m:t>=sin</m:t>
        </m:r>
        <m:r>
          <m:rPr/>
          <m:t>ϕ</m:t>
        </m:r>
        <m:r>
          <m:rPr>
            <m:sty m:val="p"/>
          </m:rPr>
          <m:t>,</m:t>
        </m:r>
        <m:r>
          <m:rPr/>
          <m:t>c</m:t>
        </m:r>
        <m:r>
          <m:rPr>
            <m:sty m:val="p"/>
          </m:rPr>
          <m:t>=cos</m:t>
        </m:r>
        <m:r>
          <m:rPr/>
          <m:t>ϕ</m:t>
        </m:r>
      </m:oMath>
      <w:r>
        <w:rPr>
          <w:rFonts w:hint="eastAsia"/>
        </w:rPr>
        <w:t>，权重取</w:t>
      </w:r>
      <w:r>
        <w:t xml:space="preserve"> </w:t>
      </w:r>
      <m:oMath>
        <m:r>
          <m:rPr/>
          <m:t>α</m:t>
        </m:r>
        <m:r>
          <m:rPr>
            <m:sty m:val="p"/>
          </m:rPr>
          <m:t>=</m:t>
        </m:r>
        <m:r>
          <m:rPr/>
          <m:t>0.05</m:t>
        </m:r>
        <m:r>
          <m:rPr>
            <m:sty m:val="p"/>
          </m:rPr>
          <m:t>,</m:t>
        </m:r>
        <m:r>
          <m:rPr/>
          <m:t>β</m:t>
        </m:r>
        <m:r>
          <m:rPr>
            <m:sty m:val="p"/>
          </m:rPr>
          <m:t>=</m:t>
        </m:r>
        <m:r>
          <m:rPr/>
          <m:t>0.1</m:t>
        </m:r>
      </m:oMath>
      <w:r>
        <w:rPr>
          <w:rFonts w:hint="eastAsia"/>
        </w:rPr>
        <w:t>。角度项直接最小化相位误差（以弧度计），进一步强化训练目标。</w:t>
      </w:r>
    </w:p>
    <w:p w14:paraId="72497016">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训练配置</w:t>
      </w:r>
      <w:r>
        <w:rPr>
          <w:rFonts w:hint="eastAsia"/>
        </w:rPr>
        <w:t>：优化器Adam（学习率0.002，权重衰减</w:t>
      </w:r>
      <m:oMath>
        <m:sSup>
          <m:sSupPr/>
          <m:e>
            <m:r>
              <m:rPr/>
              <m:t>10</m:t>
            </m:r>
          </m:e>
          <m:sup>
            <m:r>
              <m:rPr>
                <m:sty m:val="p"/>
              </m:rPr>
              <m:t>−</m:t>
            </m:r>
            <m:r>
              <m:rPr/>
              <m:t>5</m:t>
            </m:r>
          </m:sup>
        </m:sSup>
      </m:oMath>
      <w:r>
        <w:rPr>
          <w:rFonts w:hint="eastAsia"/>
        </w:rPr>
        <w:t>），批次大小256，训练300轮，结合早停（耐心100轮）与学习率衰减（平台期因子0.5，耐心30轮），数据划分为80%训练/20%验证。</w:t>
      </w:r>
    </w:p>
    <w:bookmarkEnd w:id="10"/>
    <w:p w14:paraId="462CC6AA">
      <w:pPr>
        <w:pStyle w:val="5"/>
        <w:pageBreakBefore w:val="0"/>
        <w:widowControl/>
        <w:kinsoku/>
        <w:wordWrap/>
        <w:overflowPunct/>
        <w:topLinePunct w:val="0"/>
        <w:autoSpaceDE/>
        <w:autoSpaceDN/>
        <w:bidi w:val="0"/>
        <w:adjustRightInd/>
        <w:snapToGrid/>
        <w:spacing w:line="312" w:lineRule="auto"/>
        <w:textAlignment w:val="auto"/>
      </w:pPr>
      <w:bookmarkStart w:id="11" w:name="逆向网络与tandem训练"/>
      <w:r>
        <w:t xml:space="preserve">3.3 </w:t>
      </w:r>
      <w:r>
        <w:rPr>
          <w:rFonts w:hint="eastAsia"/>
        </w:rPr>
        <w:t>逆向网络与Tandem训练</w:t>
      </w:r>
    </w:p>
    <w:p w14:paraId="0BEF6D82">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逆向网络结构</w:t>
      </w:r>
      <w:r>
        <w:rPr>
          <w:rFonts w:hint="eastAsia"/>
        </w:rPr>
        <w:t>：输入为归一化后的目标相位</w:t>
      </w:r>
      <w:r>
        <w:t xml:space="preserve"> </w:t>
      </w:r>
      <m:oMath>
        <m:sSub>
          <m:sSubPr/>
          <m:e>
            <m:r>
              <m:rPr/>
              <m:t>ϕ</m:t>
            </m:r>
          </m:e>
          <m:sub>
            <m:r>
              <m:rPr>
                <m:nor/>
                <m:sty m:val="p"/>
              </m:rPr>
              <w:rPr>
                <w:b w:val="0"/>
                <w:i w:val="0"/>
              </w:rPr>
              <m:t>target</m:t>
            </m:r>
          </m:sub>
        </m:sSub>
        <m:r>
          <m:rPr>
            <m:sty m:val="p"/>
          </m:rPr>
          <m:t>/</m:t>
        </m:r>
        <m:sSup>
          <m:sSupPr/>
          <m:e>
            <m:r>
              <m:rPr/>
              <m:t>180</m:t>
            </m:r>
          </m:e>
          <m:sup>
            <m:r>
              <m:rPr>
                <m:sty m:val="p"/>
              </m:rPr>
              <m:t>∘</m:t>
            </m:r>
          </m:sup>
        </m:sSup>
      </m:oMath>
      <w:r>
        <w:rPr>
          <w:rFonts w:hint="eastAsia"/>
        </w:rPr>
        <w:t>（1维），输出为归一化几何参数</w:t>
      </w:r>
      <w:r>
        <w:t xml:space="preserve"> </w:t>
      </w:r>
      <m:oMath>
        <m:sSub>
          <m:sSubPr/>
          <m:e>
            <m:acc>
              <m:accPr/>
              <m:e>
                <m:r>
                  <m:rPr/>
                  <m:t>w</m:t>
                </m:r>
              </m:e>
            </m:acc>
          </m:e>
          <m:sub>
            <m:r>
              <m:rPr/>
              <m:t>n</m:t>
            </m:r>
          </m:sub>
        </m:sSub>
        <m:r>
          <m:rPr>
            <m:sty m:val="p"/>
          </m:rPr>
          <m:t>,</m:t>
        </m:r>
        <m:sSub>
          <m:sSubPr/>
          <m:e>
            <m:acc>
              <m:accPr/>
              <m:e>
                <m:r>
                  <m:rPr/>
                  <m:t>p</m:t>
                </m:r>
              </m:e>
            </m:acc>
          </m:e>
          <m:sub>
            <m:r>
              <m:rPr/>
              <m:t>n</m:t>
            </m:r>
          </m:sub>
        </m:sSub>
      </m:oMath>
      <w:r>
        <w:rPr>
          <w:rFonts w:hint="eastAsia"/>
        </w:rPr>
        <w:t>（2维），同样采用MLP，隐藏层</w:t>
      </w:r>
      <w:r>
        <w:t xml:space="preserve"> </w:t>
      </w:r>
      <m:oMath>
        <m:r>
          <m:rPr>
            <m:sty m:val="p"/>
          </m:rPr>
          <m:t>[</m:t>
        </m:r>
        <m:r>
          <m:rPr/>
          <m:t>256</m:t>
        </m:r>
        <m:r>
          <m:rPr>
            <m:sty m:val="p"/>
          </m:rPr>
          <m:t>,</m:t>
        </m:r>
        <m:r>
          <m:rPr/>
          <m:t>512</m:t>
        </m:r>
        <m:r>
          <m:rPr>
            <m:sty m:val="p"/>
          </m:rPr>
          <m:t>,</m:t>
        </m:r>
        <m:r>
          <m:rPr/>
          <m:t>512</m:t>
        </m:r>
        <m:r>
          <m:rPr>
            <m:sty m:val="p"/>
          </m:rPr>
          <m:t>,</m:t>
        </m:r>
        <m:r>
          <m:rPr/>
          <m:t>256</m:t>
        </m:r>
        <m:r>
          <m:rPr>
            <m:sty m:val="p"/>
          </m:rPr>
          <m:t>,</m:t>
        </m:r>
        <m:r>
          <m:rPr/>
          <m:t>128</m:t>
        </m:r>
        <m:r>
          <m:rPr>
            <m:sty m:val="p"/>
          </m:rPr>
          <m:t>]</m:t>
        </m:r>
      </m:oMath>
      <w:r>
        <w:rPr>
          <w:rFonts w:hint="eastAsia"/>
        </w:rPr>
        <w:t>，激活函数LeakyReLU(0.1)，输出层采用Sigmoid将输出限制在</w:t>
      </w:r>
      <m:oMath>
        <m:r>
          <m:rPr>
            <m:sty m:val="p"/>
          </m:rPr>
          <m:t>[</m:t>
        </m:r>
        <m:r>
          <m:rPr/>
          <m:t>0</m:t>
        </m:r>
        <m:r>
          <m:rPr>
            <m:sty m:val="p"/>
          </m:rPr>
          <m:t>,</m:t>
        </m:r>
        <m:r>
          <m:rPr/>
          <m:t>1</m:t>
        </m:r>
        <m:r>
          <m:rPr>
            <m:sty m:val="p"/>
          </m:rPr>
          <m:t>]</m:t>
        </m:r>
      </m:oMath>
      <w:r>
        <w:rPr>
          <w:rFonts w:hint="eastAsia"/>
        </w:rPr>
        <w:t>，随后反归一化至物理范围</w:t>
      </w:r>
      <w:r>
        <w:t xml:space="preserve"> </w:t>
      </w:r>
      <m:oMath>
        <m:r>
          <m:rPr>
            <m:sty m:val="p"/>
          </m:rPr>
          <m:t>[</m:t>
        </m:r>
        <m:sSub>
          <m:sSubPr/>
          <m:e>
            <m:r>
              <m:rPr/>
              <m:t>w</m:t>
            </m:r>
          </m:e>
          <m:sub>
            <m:r>
              <m:rPr>
                <m:sty m:val="p"/>
              </m:rPr>
              <m:t>min</m:t>
            </m:r>
          </m:sub>
        </m:sSub>
        <m:r>
          <m:rPr>
            <m:sty m:val="p"/>
          </m:rPr>
          <m:t>,</m:t>
        </m:r>
        <m:sSub>
          <m:sSubPr/>
          <m:e>
            <m:r>
              <m:rPr/>
              <m:t>w</m:t>
            </m:r>
          </m:e>
          <m:sub>
            <m:r>
              <m:rPr>
                <m:sty m:val="p"/>
              </m:rPr>
              <m:t>max</m:t>
            </m:r>
          </m:sub>
        </m:sSub>
        <m:r>
          <m:rPr>
            <m:sty m:val="p"/>
          </m:rPr>
          <m:t>]</m:t>
        </m:r>
      </m:oMath>
      <w:r>
        <w:t xml:space="preserve"> </w:t>
      </w:r>
      <w:r>
        <w:rPr>
          <w:rFonts w:hint="eastAsia"/>
        </w:rPr>
        <w:t>和</w:t>
      </w:r>
      <w:r>
        <w:t xml:space="preserve"> </w:t>
      </w:r>
      <m:oMath>
        <m:r>
          <m:rPr>
            <m:sty m:val="p"/>
          </m:rPr>
          <m:t>[</m:t>
        </m:r>
        <m:sSub>
          <m:sSubPr/>
          <m:e>
            <m:r>
              <m:rPr/>
              <m:t>p</m:t>
            </m:r>
          </m:e>
          <m:sub>
            <m:r>
              <m:rPr>
                <m:sty m:val="p"/>
              </m:rPr>
              <m:t>min</m:t>
            </m:r>
          </m:sub>
        </m:sSub>
        <m:r>
          <m:rPr>
            <m:sty m:val="p"/>
          </m:rPr>
          <m:t>,</m:t>
        </m:r>
        <m:sSub>
          <m:sSubPr/>
          <m:e>
            <m:r>
              <m:rPr/>
              <m:t>p</m:t>
            </m:r>
          </m:e>
          <m:sub>
            <m:r>
              <m:rPr>
                <m:sty m:val="p"/>
              </m:rPr>
              <m:t>max</m:t>
            </m:r>
          </m:sub>
        </m:sSub>
        <m:r>
          <m:rPr>
            <m:sty m:val="p"/>
          </m:rPr>
          <m:t>]</m:t>
        </m:r>
      </m:oMath>
      <w:r>
        <w:t>。</w:t>
      </w:r>
    </w:p>
    <w:p w14:paraId="349C901F">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Tandem损失</w:t>
      </w:r>
      <w:r>
        <w:rPr>
          <w:rFonts w:hint="eastAsia"/>
        </w:rPr>
        <w:t>：在逆向网络训练过程中，正向网络</w:t>
      </w:r>
      <w:r>
        <w:t xml:space="preserve"> </w:t>
      </w:r>
      <m:oMath>
        <m:r>
          <m:rPr/>
          <m:t>f</m:t>
        </m:r>
      </m:oMath>
      <w:r>
        <w:t xml:space="preserve"> </w:t>
      </w:r>
      <w:r>
        <w:rPr>
          <w:rFonts w:hint="eastAsia"/>
        </w:rPr>
        <w:t>的所有参数被冻结，仅优化逆向网络参数。损失定义为：</w:t>
      </w:r>
    </w:p>
    <w:p w14:paraId="24A2EC7D">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sty m:val="p"/>
                  <m:scr m:val="script"/>
                </m:rPr>
                <m:t>ℒ</m:t>
              </m:r>
            </m:e>
            <m:sub>
              <m:r>
                <m:rPr>
                  <m:nor/>
                  <m:sty m:val="p"/>
                </m:rPr>
                <w:rPr>
                  <w:b w:val="0"/>
                  <w:i w:val="0"/>
                </w:rPr>
                <m:t>tandem</m:t>
              </m:r>
            </m:sub>
          </m:sSub>
          <m:r>
            <m:rPr>
              <m:sty m:val="p"/>
            </m:rPr>
            <m:t>=</m:t>
          </m:r>
          <m:r>
            <m:rPr>
              <m:nor/>
              <m:sty m:val="p"/>
            </m:rPr>
            <m:t>Huber</m:t>
          </m:r>
          <m:d>
            <m:dPr>
              <m:sepChr m:val=""/>
            </m:dPr>
            <m:e>
              <m:acc>
                <m:accPr/>
                <m:e>
                  <m:r>
                    <m:rPr/>
                    <m:t>ϕ</m:t>
                  </m:r>
                </m:e>
              </m:acc>
              <m:r>
                <m:rPr>
                  <m:sty m:val="p"/>
                </m:rPr>
                <m:t>,</m:t>
              </m:r>
              <m:sSub>
                <m:sSubPr/>
                <m:e>
                  <m:r>
                    <m:rPr/>
                    <m:t>ϕ</m:t>
                  </m:r>
                </m:e>
                <m:sub>
                  <m:r>
                    <m:rPr>
                      <m:nor/>
                      <m:sty m:val="p"/>
                    </m:rPr>
                    <w:rPr>
                      <w:b w:val="0"/>
                      <w:i w:val="0"/>
                    </w:rPr>
                    <m:t>target</m:t>
                  </m:r>
                </m:sub>
              </m:sSub>
              <m:r>
                <m:rPr>
                  <m:sty m:val="p"/>
                </m:rPr>
                <m:t>;</m:t>
              </m:r>
              <m:r>
                <m:rPr/>
                <m:t>δ</m:t>
              </m:r>
              <m:r>
                <m:rPr>
                  <m:sty m:val="p"/>
                </m:rPr>
                <m:t>=</m:t>
              </m:r>
              <m:sSup>
                <m:sSupPr/>
                <m:e>
                  <m:r>
                    <m:rPr/>
                    <m:t>10</m:t>
                  </m:r>
                </m:e>
                <m:sup>
                  <m:r>
                    <m:rPr>
                      <m:sty m:val="p"/>
                    </m:rPr>
                    <m:t>∘</m:t>
                  </m:r>
                </m:sup>
              </m:sSup>
            </m:e>
          </m:d>
          <m:r>
            <m:rPr>
              <m:sty m:val="p"/>
            </m:rPr>
            <m:t>,</m:t>
          </m:r>
        </m:oMath>
      </m:oMathPara>
    </w:p>
    <w:p w14:paraId="149B4B62">
      <w:pPr>
        <w:pStyle w:val="3"/>
        <w:pageBreakBefore w:val="0"/>
        <w:widowControl/>
        <w:kinsoku/>
        <w:wordWrap/>
        <w:overflowPunct/>
        <w:topLinePunct w:val="0"/>
        <w:autoSpaceDE/>
        <w:autoSpaceDN/>
        <w:bidi w:val="0"/>
        <w:adjustRightInd/>
        <w:snapToGrid/>
        <w:spacing w:line="312" w:lineRule="auto"/>
        <w:textAlignment w:val="auto"/>
      </w:pPr>
      <w:r>
        <w:rPr>
          <w:rFonts w:hint="eastAsia"/>
        </w:rPr>
        <w:t>其中</w:t>
      </w:r>
      <w:r>
        <w:t xml:space="preserve"> </w:t>
      </w:r>
      <m:oMath>
        <m:acc>
          <m:accPr/>
          <m:e>
            <m:r>
              <m:rPr/>
              <m:t>ϕ</m:t>
            </m:r>
          </m:e>
        </m:acc>
        <m:r>
          <m:rPr>
            <m:sty m:val="p"/>
          </m:rPr>
          <m:t>=</m:t>
        </m:r>
        <m:r>
          <m:rPr/>
          <m:t>f</m:t>
        </m:r>
        <m:d>
          <m:dPr>
            <m:sepChr m:val=""/>
          </m:dPr>
          <m:e>
            <m:r>
              <m:rPr/>
              <m:t>g</m:t>
            </m:r>
            <m:r>
              <m:rPr>
                <m:sty m:val="p"/>
              </m:rPr>
              <m:t>(</m:t>
            </m:r>
            <m:sSub>
              <m:sSubPr/>
              <m:e>
                <m:r>
                  <m:rPr/>
                  <m:t>ϕ</m:t>
                </m:r>
              </m:e>
              <m:sub>
                <m:r>
                  <m:rPr>
                    <m:nor/>
                    <m:sty m:val="p"/>
                  </m:rPr>
                  <w:rPr>
                    <w:b w:val="0"/>
                    <w:i w:val="0"/>
                  </w:rPr>
                  <m:t>target</m:t>
                </m:r>
              </m:sub>
            </m:sSub>
            <m:r>
              <m:rPr>
                <m:sty m:val="p"/>
              </m:rPr>
              <m:t>)</m:t>
            </m:r>
          </m:e>
        </m:d>
      </m:oMath>
      <w:r>
        <w:rPr>
          <w:rFonts w:hint="eastAsia"/>
        </w:rPr>
        <w:t>。Huber损失对小误差（</w:t>
      </w:r>
      <m:oMath>
        <m:r>
          <m:rPr>
            <m:sty m:val="p"/>
          </m:rPr>
          <m:t>&lt;</m:t>
        </m:r>
        <m:sSup>
          <m:sSupPr/>
          <m:e>
            <m:r>
              <m:rPr/>
              <m:t>10</m:t>
            </m:r>
          </m:e>
          <m:sup>
            <m:r>
              <m:rPr>
                <m:sty m:val="p"/>
              </m:rPr>
              <m:t>∘</m:t>
            </m:r>
          </m:sup>
        </m:sSup>
      </m:oMath>
      <w:r>
        <w:rPr>
          <w:rFonts w:hint="eastAsia"/>
        </w:rPr>
        <w:t>）提供高精度梯度，对大误差保持线性鲁棒性，避免梯度爆炸。训练时对输入目标相位注入标准差1.5°的高斯噪声，增强模型对相位的平滑泛化能力。</w:t>
      </w:r>
    </w:p>
    <w:p w14:paraId="5D0938E1">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训练配置</w:t>
      </w:r>
      <w:r>
        <w:rPr>
          <w:rFonts w:hint="eastAsia"/>
        </w:rPr>
        <w:t>：优化器Adam（学习率0.001，权重衰减</w:t>
      </w:r>
      <m:oMath>
        <m:sSup>
          <m:sSupPr/>
          <m:e>
            <m:r>
              <m:rPr/>
              <m:t>10</m:t>
            </m:r>
          </m:e>
          <m:sup>
            <m:r>
              <m:rPr>
                <m:sty m:val="p"/>
              </m:rPr>
              <m:t>−</m:t>
            </m:r>
            <m:r>
              <m:rPr/>
              <m:t>6</m:t>
            </m:r>
          </m:sup>
        </m:sSup>
      </m:oMath>
      <w:r>
        <w:rPr>
          <w:rFonts w:hint="eastAsia"/>
        </w:rPr>
        <w:t>），批次大小512，最大500轮，早停耐心150轮。</w:t>
      </w:r>
    </w:p>
    <w:p w14:paraId="23AE14A7">
      <w:pPr>
        <w:pageBreakBefore w:val="0"/>
        <w:widowControl/>
        <w:kinsoku/>
        <w:wordWrap/>
        <w:overflowPunct/>
        <w:topLinePunct w:val="0"/>
        <w:autoSpaceDE/>
        <w:autoSpaceDN/>
        <w:bidi w:val="0"/>
        <w:adjustRightInd/>
        <w:snapToGrid/>
        <w:spacing w:line="312" w:lineRule="auto"/>
        <w:textAlignment w:val="auto"/>
      </w:pPr>
      <w:r>
        <w:pict>
          <v:rect id="_x0000_i1028" o:spt="1" style="height:1.5pt;width:0pt;" coordsize="21600,21600" o:hr="t" o:hrstd="t" o:hralign="center">
            <v:path/>
            <v:fill focussize="0,0"/>
            <v:stroke/>
            <v:imagedata o:title=""/>
            <o:lock v:ext="edit"/>
            <w10:wrap type="none"/>
            <w10:anchorlock/>
          </v:rect>
        </w:pict>
      </w:r>
    </w:p>
    <w:bookmarkEnd w:id="8"/>
    <w:bookmarkEnd w:id="11"/>
    <w:p w14:paraId="02BF9B8F">
      <w:pPr>
        <w:pStyle w:val="4"/>
        <w:pageBreakBefore w:val="0"/>
        <w:widowControl/>
        <w:kinsoku/>
        <w:wordWrap/>
        <w:overflowPunct/>
        <w:topLinePunct w:val="0"/>
        <w:autoSpaceDE/>
        <w:autoSpaceDN/>
        <w:bidi w:val="0"/>
        <w:adjustRightInd/>
        <w:snapToGrid/>
        <w:spacing w:line="312" w:lineRule="auto"/>
        <w:textAlignment w:val="auto"/>
      </w:pPr>
      <w:bookmarkStart w:id="12" w:name="实验结果与分析"/>
      <w:r>
        <w:t xml:space="preserve">4. </w:t>
      </w:r>
      <w:r>
        <w:rPr>
          <w:rFonts w:hint="eastAsia"/>
        </w:rPr>
        <w:t>实验结果与分析</w:t>
      </w:r>
    </w:p>
    <w:p w14:paraId="13A8093F">
      <w:pPr>
        <w:pStyle w:val="5"/>
        <w:pageBreakBefore w:val="0"/>
        <w:widowControl/>
        <w:kinsoku/>
        <w:wordWrap/>
        <w:overflowPunct/>
        <w:topLinePunct w:val="0"/>
        <w:autoSpaceDE/>
        <w:autoSpaceDN/>
        <w:bidi w:val="0"/>
        <w:adjustRightInd/>
        <w:snapToGrid/>
        <w:spacing w:line="312" w:lineRule="auto"/>
        <w:textAlignment w:val="auto"/>
      </w:pPr>
      <w:bookmarkStart w:id="13" w:name="正向网络性能"/>
      <w:r>
        <w:t xml:space="preserve">4.1 </w:t>
      </w:r>
      <w:r>
        <w:rPr>
          <w:rFonts w:hint="eastAsia"/>
        </w:rPr>
        <w:t>正向网络性能</w:t>
      </w:r>
    </w:p>
    <w:p w14:paraId="018ECE52">
      <w:pPr>
        <w:pStyle w:val="3"/>
        <w:pageBreakBefore w:val="0"/>
        <w:widowControl/>
        <w:kinsoku/>
        <w:wordWrap/>
        <w:overflowPunct/>
        <w:topLinePunct w:val="0"/>
        <w:autoSpaceDE/>
        <w:autoSpaceDN/>
        <w:bidi w:val="0"/>
        <w:adjustRightInd/>
        <w:snapToGrid/>
        <w:spacing w:line="312" w:lineRule="auto"/>
        <w:textAlignment w:val="auto"/>
      </w:pPr>
      <w:r>
        <w:rPr>
          <w:rFonts w:hint="eastAsia"/>
        </w:rPr>
        <w:t>正向网络在241轮后早停收敛，训练曲线如图2。验证集上的相位预测统计给出：</w:t>
      </w:r>
    </w:p>
    <w:p w14:paraId="2BE354E7">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rPr>
        <w:t>平均绝对误差（MAE）：</w:t>
      </w:r>
      <w:r>
        <w:rPr>
          <w:b/>
          <w:bCs/>
        </w:rPr>
        <w:t>1.04°</w:t>
      </w:r>
    </w:p>
    <w:p w14:paraId="07605555">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rPr>
        <w:t>均方根误差（RMSE）：</w:t>
      </w:r>
      <w:r>
        <w:rPr>
          <w:b/>
          <w:bCs/>
        </w:rPr>
        <w:t>1.47°</w:t>
      </w:r>
    </w:p>
    <w:p w14:paraId="6A0E79C2">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rPr>
        <w:t>最大误差：</w:t>
      </w:r>
      <w:r>
        <w:rPr>
          <w:b/>
          <w:bCs/>
        </w:rPr>
        <w:t>9.32°</w:t>
      </w:r>
      <w:r>
        <w:rPr>
          <w:rFonts w:hint="eastAsia"/>
        </w:rPr>
        <w:t>（仅个别边界样本）</w:t>
      </w:r>
    </w:p>
    <w:p w14:paraId="4E4670B5">
      <w:pPr>
        <w:pStyle w:val="3"/>
        <w:pageBreakBefore w:val="0"/>
        <w:widowControl/>
        <w:kinsoku/>
        <w:wordWrap/>
        <w:overflowPunct/>
        <w:topLinePunct w:val="0"/>
        <w:autoSpaceDE/>
        <w:autoSpaceDN/>
        <w:bidi w:val="0"/>
        <w:adjustRightInd/>
        <w:snapToGrid/>
        <w:spacing w:line="312" w:lineRule="auto"/>
        <w:textAlignment w:val="auto"/>
      </w:pPr>
      <w:r>
        <w:rPr>
          <w:rFonts w:hint="eastAsia"/>
        </w:rPr>
        <w:t>预测值与真实值的散点图（图3）几乎完全沿对角线分布，表明网络已精确学习到宽度、周期与相位之间高度非线性的物理映射。</w:t>
      </w:r>
    </w:p>
    <w:p w14:paraId="0D4852F8">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【插入图2：</w:t>
      </w:r>
      <w:r>
        <w:t xml:space="preserve"> </w:t>
      </w:r>
      <w:r>
        <w:rPr>
          <w:rStyle w:val="48"/>
        </w:rPr>
        <w:t>forward_training.png</w:t>
      </w:r>
      <w:r>
        <w:t xml:space="preserve"> </w:t>
      </w:r>
      <w:r>
        <w:rPr>
          <w:b/>
          <w:bCs/>
        </w:rPr>
        <w:t>】</w:t>
      </w:r>
      <w:r>
        <w:br w:type="textWrapping"/>
      </w:r>
      <w:r>
        <w:rPr>
          <w:rFonts w:hint="eastAsia"/>
          <w:b/>
          <w:bCs/>
        </w:rPr>
        <w:t>图2</w:t>
      </w:r>
      <w:r>
        <w:rPr>
          <w:b/>
          <w:bCs/>
        </w:rPr>
        <w:t xml:space="preserve"> </w:t>
      </w:r>
      <w:r>
        <w:rPr>
          <w:rFonts w:hint="eastAsia"/>
          <w:b/>
          <w:bCs/>
        </w:rPr>
        <w:t>正向网络训练曲线</w:t>
      </w:r>
      <w:r>
        <w:br w:type="textWrapping"/>
      </w:r>
      <w:r>
        <w:t xml:space="preserve">(a) </w:t>
      </w:r>
      <w:r>
        <w:rPr>
          <w:rFonts w:hint="eastAsia"/>
        </w:rPr>
        <w:t>总损失：训练与验证损失在250轮内快速下降并趋于平坦，未出现过拟合；</w:t>
      </w:r>
      <w:r>
        <w:br w:type="textWrapping"/>
      </w:r>
      <w:r>
        <w:t xml:space="preserve">(b) </w:t>
      </w:r>
      <w:r>
        <w:rPr>
          <w:rFonts w:hint="eastAsia"/>
        </w:rPr>
        <w:t>验证集相位MAE最终稳定在约1.04°。</w:t>
      </w:r>
    </w:p>
    <w:p w14:paraId="4475907C">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【插入图3：</w:t>
      </w:r>
      <w:r>
        <w:t xml:space="preserve"> </w:t>
      </w:r>
      <w:r>
        <w:rPr>
          <w:rStyle w:val="48"/>
        </w:rPr>
        <w:t>forward_validation.png</w:t>
      </w:r>
      <w:r>
        <w:t xml:space="preserve"> </w:t>
      </w:r>
      <w:r>
        <w:rPr>
          <w:b/>
          <w:bCs/>
        </w:rPr>
        <w:t>】</w:t>
      </w:r>
      <w:r>
        <w:br w:type="textWrapping"/>
      </w:r>
      <w:r>
        <w:rPr>
          <w:rFonts w:hint="eastAsia"/>
          <w:b/>
          <w:bCs/>
        </w:rPr>
        <w:t>图3</w:t>
      </w:r>
      <w:r>
        <w:rPr>
          <w:b/>
          <w:bCs/>
        </w:rPr>
        <w:t xml:space="preserve"> </w:t>
      </w:r>
      <w:r>
        <w:rPr>
          <w:rFonts w:hint="eastAsia"/>
          <w:b/>
          <w:bCs/>
        </w:rPr>
        <w:t>相位预测散点图（MAE=1.04°）</w:t>
      </w:r>
      <w:r>
        <w:br w:type="textWrapping"/>
      </w:r>
      <w:r>
        <w:rPr>
          <w:rFonts w:hint="eastAsia"/>
        </w:rPr>
        <w:t>预测相位与真实相位紧密聚集于对角线，仅极个别点偏离超过5°，验证了正向模型作为代理求解器的准确性。</w:t>
      </w:r>
    </w:p>
    <w:bookmarkEnd w:id="13"/>
    <w:p w14:paraId="304AC9F5">
      <w:pPr>
        <w:pStyle w:val="5"/>
        <w:pageBreakBefore w:val="0"/>
        <w:widowControl/>
        <w:kinsoku/>
        <w:wordWrap/>
        <w:overflowPunct/>
        <w:topLinePunct w:val="0"/>
        <w:autoSpaceDE/>
        <w:autoSpaceDN/>
        <w:bidi w:val="0"/>
        <w:adjustRightInd/>
        <w:snapToGrid/>
        <w:spacing w:line="312" w:lineRule="auto"/>
        <w:textAlignment w:val="auto"/>
      </w:pPr>
      <w:bookmarkStart w:id="14" w:name="tandem逆向网络性能"/>
      <w:r>
        <w:t xml:space="preserve">4.2 </w:t>
      </w:r>
      <w:r>
        <w:rPr>
          <w:rFonts w:hint="eastAsia"/>
        </w:rPr>
        <w:t>Tandem逆向网络性能</w:t>
      </w:r>
    </w:p>
    <w:p w14:paraId="2FC30FC3">
      <w:pPr>
        <w:pStyle w:val="3"/>
        <w:pageBreakBefore w:val="0"/>
        <w:widowControl/>
        <w:kinsoku/>
        <w:wordWrap/>
        <w:overflowPunct/>
        <w:topLinePunct w:val="0"/>
        <w:autoSpaceDE/>
        <w:autoSpaceDN/>
        <w:bidi w:val="0"/>
        <w:adjustRightInd/>
        <w:snapToGrid/>
        <w:spacing w:line="312" w:lineRule="auto"/>
        <w:textAlignment w:val="auto"/>
      </w:pPr>
      <w:r>
        <w:rPr>
          <w:rFonts w:hint="eastAsia"/>
        </w:rPr>
        <w:t>Tandem网络在433轮训练后收敛（训练曲线见图4）。在37个均匀采样的目标相位上进行测试（图5），逆向设计性能为：</w:t>
      </w:r>
    </w:p>
    <w:p w14:paraId="0FDE4B6C">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b/>
          <w:bCs/>
        </w:rPr>
        <w:t>平均误差：1.72°</w:t>
      </w:r>
    </w:p>
    <w:p w14:paraId="344DBFB5">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b/>
          <w:bCs/>
        </w:rPr>
        <w:t>最大误差：5.80°</w:t>
      </w:r>
    </w:p>
    <w:p w14:paraId="7267AC6A">
      <w:pPr>
        <w:pStyle w:val="24"/>
        <w:pageBreakBefore w:val="0"/>
        <w:widowControl/>
        <w:numPr>
          <w:ilvl w:val="0"/>
          <w:numId w:val="2"/>
        </w:numPr>
        <w:kinsoku/>
        <w:wordWrap/>
        <w:overflowPunct/>
        <w:topLinePunct w:val="0"/>
        <w:autoSpaceDE/>
        <w:autoSpaceDN/>
        <w:bidi w:val="0"/>
        <w:adjustRightInd/>
        <w:snapToGrid/>
        <w:spacing w:line="312" w:lineRule="auto"/>
        <w:textAlignment w:val="auto"/>
      </w:pPr>
      <w:r>
        <w:rPr>
          <w:rFonts w:hint="eastAsia"/>
          <w:b/>
          <w:bCs/>
        </w:rPr>
        <w:t>中位数误差：1.47°</w:t>
      </w:r>
    </w:p>
    <w:p w14:paraId="5E67F342">
      <w:pPr>
        <w:pStyle w:val="3"/>
        <w:pageBreakBefore w:val="0"/>
        <w:widowControl/>
        <w:kinsoku/>
        <w:wordWrap/>
        <w:overflowPunct/>
        <w:topLinePunct w:val="0"/>
        <w:autoSpaceDE/>
        <w:autoSpaceDN/>
        <w:bidi w:val="0"/>
        <w:adjustRightInd/>
        <w:snapToGrid/>
        <w:spacing w:line="312" w:lineRule="auto"/>
        <w:textAlignment w:val="auto"/>
      </w:pPr>
      <w:r>
        <w:rPr>
          <w:rFonts w:hint="eastAsia"/>
        </w:rPr>
        <w:t>网络输出的几何参数</w:t>
      </w:r>
      <w:r>
        <w:t xml:space="preserve"> </w:t>
      </w:r>
      <m:oMath>
        <m:r>
          <m:rPr>
            <m:sty m:val="p"/>
          </m:rPr>
          <m:t>(</m:t>
        </m:r>
        <m:r>
          <m:rPr/>
          <m:t>w</m:t>
        </m:r>
        <m:r>
          <m:rPr>
            <m:sty m:val="p"/>
          </m:rPr>
          <m:t>,</m:t>
        </m:r>
        <m:r>
          <m:rPr/>
          <m:t>p</m:t>
        </m:r>
        <m:r>
          <m:rPr>
            <m:sty m:val="p"/>
          </m:rPr>
          <m:t>)</m:t>
        </m:r>
      </m:oMath>
      <w:r>
        <w:t xml:space="preserve"> </w:t>
      </w:r>
      <w:r>
        <w:rPr>
          <w:rFonts w:hint="eastAsia"/>
        </w:rPr>
        <w:t>随目标相位平滑变化，无跳变现象，说明Tandem架构成功规避了逆问题的多解性，输出结构具有良好的物理连续性。</w:t>
      </w:r>
    </w:p>
    <w:p w14:paraId="33AD8D2C">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【插入图4：</w:t>
      </w:r>
      <w:r>
        <w:t xml:space="preserve"> </w:t>
      </w:r>
      <w:r>
        <w:rPr>
          <w:rStyle w:val="48"/>
        </w:rPr>
        <w:t>tandem_training.png</w:t>
      </w:r>
      <w:r>
        <w:t xml:space="preserve"> </w:t>
      </w:r>
      <w:r>
        <w:rPr>
          <w:b/>
          <w:bCs/>
        </w:rPr>
        <w:t>】</w:t>
      </w:r>
      <w:r>
        <w:br w:type="textWrapping"/>
      </w:r>
      <w:r>
        <w:rPr>
          <w:rFonts w:hint="eastAsia"/>
          <w:b/>
          <w:bCs/>
        </w:rPr>
        <w:t>图4</w:t>
      </w:r>
      <w:r>
        <w:rPr>
          <w:b/>
          <w:bCs/>
        </w:rPr>
        <w:t xml:space="preserve"> </w:t>
      </w:r>
      <w:r>
        <w:rPr>
          <w:rFonts w:hint="eastAsia"/>
          <w:b/>
          <w:bCs/>
        </w:rPr>
        <w:t>Tandem网络训练曲线</w:t>
      </w:r>
      <w:r>
        <w:br w:type="textWrapping"/>
      </w:r>
      <w:r>
        <w:rPr>
          <w:rFonts w:hint="eastAsia"/>
        </w:rPr>
        <w:t>损失从初值1.04迅速下降，400轮后稳定在0.005附近，表明逆向模型已精确学习到满足物理一致性的结构生成策略。</w:t>
      </w:r>
    </w:p>
    <w:p w14:paraId="7EACCD3E">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【插入图5：</w:t>
      </w:r>
      <w:r>
        <w:t xml:space="preserve"> </w:t>
      </w:r>
      <w:r>
        <w:rPr>
          <w:rStyle w:val="48"/>
        </w:rPr>
        <w:t>tandem_validation.png</w:t>
      </w:r>
      <w:r>
        <w:t xml:space="preserve"> </w:t>
      </w:r>
      <w:r>
        <w:rPr>
          <w:b/>
          <w:bCs/>
        </w:rPr>
        <w:t>】</w:t>
      </w:r>
      <w:r>
        <w:br w:type="textWrapping"/>
      </w:r>
      <w:r>
        <w:rPr>
          <w:rFonts w:hint="eastAsia"/>
          <w:b/>
          <w:bCs/>
        </w:rPr>
        <w:t>图5</w:t>
      </w:r>
      <w:r>
        <w:rPr>
          <w:b/>
          <w:bCs/>
        </w:rPr>
        <w:t xml:space="preserve"> </w:t>
      </w:r>
      <w:r>
        <w:rPr>
          <w:rFonts w:hint="eastAsia"/>
          <w:b/>
          <w:bCs/>
        </w:rPr>
        <w:t>Tandem逆向设计验证</w:t>
      </w:r>
      <w:r>
        <w:br w:type="textWrapping"/>
      </w:r>
      <w:r>
        <w:t xml:space="preserve">(a) </w:t>
      </w:r>
      <w:r>
        <w:rPr>
          <w:rFonts w:hint="eastAsia"/>
        </w:rPr>
        <w:t>目标相位</w:t>
      </w:r>
      <w:r>
        <w:t xml:space="preserve"> vs </w:t>
      </w:r>
      <w:r>
        <w:rPr>
          <w:rFonts w:hint="eastAsia"/>
        </w:rPr>
        <w:t>实现相位呈完美对角分布；</w:t>
      </w:r>
      <w:r>
        <w:br w:type="textWrapping"/>
      </w:r>
      <w:r>
        <w:t xml:space="preserve">(b) </w:t>
      </w:r>
      <w:r>
        <w:rPr>
          <w:rFonts w:hint="eastAsia"/>
        </w:rPr>
        <w:t>相位误差均控制在6°以内，大部分低于3.5°；</w:t>
      </w:r>
      <w:r>
        <w:br w:type="textWrapping"/>
      </w:r>
      <w:r>
        <w:t xml:space="preserve">(c) </w:t>
      </w:r>
      <w:r>
        <w:rPr>
          <w:rFonts w:hint="eastAsia"/>
        </w:rPr>
        <w:t>输出的宽度与周期随目标相位连续变化，无异常振荡；</w:t>
      </w:r>
      <w:r>
        <w:br w:type="textWrapping"/>
      </w:r>
      <w:r>
        <w:t xml:space="preserve">(d) </w:t>
      </w:r>
      <w:r>
        <w:rPr>
          <w:rFonts w:hint="eastAsia"/>
        </w:rPr>
        <w:t>误差分布直方图集中于0–2°区间，设计精度优异。</w:t>
      </w:r>
    </w:p>
    <w:bookmarkEnd w:id="14"/>
    <w:p w14:paraId="60715662">
      <w:pPr>
        <w:pStyle w:val="5"/>
        <w:pageBreakBefore w:val="0"/>
        <w:widowControl/>
        <w:kinsoku/>
        <w:wordWrap/>
        <w:overflowPunct/>
        <w:topLinePunct w:val="0"/>
        <w:autoSpaceDE/>
        <w:autoSpaceDN/>
        <w:bidi w:val="0"/>
        <w:adjustRightInd/>
        <w:snapToGrid/>
        <w:spacing w:line="312" w:lineRule="auto"/>
        <w:textAlignment w:val="auto"/>
      </w:pPr>
      <w:bookmarkStart w:id="15" w:name="反常折射阵列设计"/>
      <w:r>
        <w:t xml:space="preserve">4.3 </w:t>
      </w:r>
      <w:r>
        <w:rPr>
          <w:rFonts w:hint="eastAsia"/>
        </w:rPr>
        <w:t>反常折射阵列设计</w:t>
      </w:r>
    </w:p>
    <w:p w14:paraId="6A8ECFFF">
      <w:pPr>
        <w:pStyle w:val="3"/>
        <w:pageBreakBefore w:val="0"/>
        <w:widowControl/>
        <w:kinsoku/>
        <w:wordWrap/>
        <w:overflowPunct/>
        <w:topLinePunct w:val="0"/>
        <w:autoSpaceDE/>
        <w:autoSpaceDN/>
        <w:bidi w:val="0"/>
        <w:adjustRightInd/>
        <w:snapToGrid/>
        <w:spacing w:line="312" w:lineRule="auto"/>
        <w:textAlignment w:val="auto"/>
      </w:pPr>
      <w:r>
        <w:rPr>
          <w:rFonts w:hint="eastAsia"/>
        </w:rPr>
        <w:t>为验证完整设计流程，我们以</w:t>
      </w:r>
      <w:r>
        <w:t xml:space="preserve"> </w:t>
      </w:r>
      <m:oMath>
        <m:sSub>
          <m:sSubPr/>
          <m:e>
            <m:r>
              <m:rPr/>
              <m:t>θ</m:t>
            </m:r>
          </m:e>
          <m:sub>
            <m:r>
              <m:rPr/>
              <m:t>t</m:t>
            </m:r>
          </m:sub>
        </m:sSub>
        <m:r>
          <m:rPr>
            <m:sty m:val="p"/>
          </m:rPr>
          <m:t>=</m:t>
        </m:r>
        <m:sSup>
          <m:sSupPr/>
          <m:e>
            <m:r>
              <m:rPr/>
              <m:t>30</m:t>
            </m:r>
          </m:e>
          <m:sup>
            <m:r>
              <m:rPr>
                <m:sty m:val="p"/>
              </m:rPr>
              <m:t>∘</m:t>
            </m:r>
          </m:sup>
        </m:sSup>
      </m:oMath>
      <w:r>
        <w:rPr>
          <w:rFonts w:hint="eastAsia"/>
        </w:rPr>
        <w:t>、单元间距</w:t>
      </w:r>
      <w:r>
        <w:t xml:space="preserve"> </w:t>
      </w:r>
      <m:oMath>
        <m:r>
          <m:rPr/>
          <m:t>p</m:t>
        </m:r>
        <m:r>
          <m:rPr>
            <m:sty m:val="p"/>
          </m:rPr>
          <m:t>=</m:t>
        </m:r>
        <m:r>
          <m:rPr/>
          <m:t>600</m:t>
        </m:r>
        <m:r>
          <m:rPr>
            <m:nor/>
            <m:sty m:val="p"/>
          </m:rPr>
          <w:rPr>
            <w:b w:val="0"/>
            <w:i w:val="0"/>
          </w:rPr>
          <m:t>nm</m:t>
        </m:r>
      </m:oMath>
      <w:r>
        <w:t xml:space="preserve"> </w:t>
      </w:r>
      <w:r>
        <w:rPr>
          <w:rFonts w:hint="eastAsia"/>
        </w:rPr>
        <w:t>构建一维21单元超构表面。根据广义斯涅尔定律，第</w:t>
      </w:r>
      <w:r>
        <w:t xml:space="preserve"> </w:t>
      </w:r>
      <m:oMath>
        <m:r>
          <m:rPr/>
          <m:t>n</m:t>
        </m:r>
      </m:oMath>
      <w:r>
        <w:t xml:space="preserve"> </w:t>
      </w:r>
      <w:r>
        <w:rPr>
          <w:rFonts w:hint="eastAsia"/>
        </w:rPr>
        <w:t>个单元的理想相位为：</w:t>
      </w:r>
    </w:p>
    <w:p w14:paraId="393CDD10">
      <w:pPr>
        <w:pStyle w:val="3"/>
        <w:pageBreakBefore w:val="0"/>
        <w:widowControl/>
        <w:kinsoku/>
        <w:wordWrap/>
        <w:overflowPunct/>
        <w:topLinePunct w:val="0"/>
        <w:autoSpaceDE/>
        <w:autoSpaceDN/>
        <w:bidi w:val="0"/>
        <w:adjustRightInd/>
        <w:snapToGrid/>
        <w:spacing w:line="312" w:lineRule="auto"/>
        <w:textAlignment w:val="auto"/>
      </w:pPr>
      <m:oMathPara>
        <m:oMathParaPr>
          <m:jc m:val="center"/>
        </m:oMathParaPr>
        <m:oMath>
          <m:sSub>
            <m:sSubPr/>
            <m:e>
              <m:r>
                <m:rPr>
                  <m:sty m:val="p"/>
                </m:rPr>
                <m:t>Φ</m:t>
              </m:r>
            </m:e>
            <m:sub>
              <m:r>
                <m:rPr/>
                <m:t>n</m:t>
              </m:r>
            </m:sub>
          </m:sSub>
          <m:r>
            <m:rPr>
              <m:sty m:val="p"/>
            </m:rPr>
            <m:t>=</m:t>
          </m:r>
          <m:d>
            <m:dPr>
              <m:sepChr m:val=""/>
            </m:dPr>
            <m:e>
              <m:r>
                <m:rPr/>
                <m:t>n</m:t>
              </m:r>
              <m:r>
                <m:rPr>
                  <m:sty m:val="p"/>
                </m:rPr>
                <m:t>⋅</m:t>
              </m:r>
              <m:f>
                <m:fPr/>
                <m:num>
                  <m:r>
                    <m:rPr/>
                    <m:t>2π p</m:t>
                  </m:r>
                </m:num>
                <m:den>
                  <m:sSub>
                    <m:sSubPr/>
                    <m:e>
                      <m:r>
                        <m:rPr/>
                        <m:t>λ</m:t>
                      </m:r>
                    </m:e>
                    <m:sub>
                      <m:r>
                        <m:rPr/>
                        <m:t>0</m:t>
                      </m:r>
                    </m:sub>
                  </m:sSub>
                </m:den>
              </m:f>
              <m:r>
                <m:rPr>
                  <m:sty m:val="p"/>
                </m:rPr>
                <m:t>sin</m:t>
              </m:r>
              <m:sSub>
                <m:sSubPr/>
                <m:e>
                  <m:r>
                    <m:rPr/>
                    <m:t>θ</m:t>
                  </m:r>
                </m:e>
                <m:sub>
                  <m:r>
                    <m:rPr/>
                    <m:t>t</m:t>
                  </m:r>
                </m:sub>
              </m:sSub>
            </m:e>
          </m:d>
          <m:r>
            <m:rPr/>
            <m:t> </m:t>
          </m:r>
          <m:r>
            <m:rPr>
              <m:sty m:val="p"/>
            </m:rPr>
            <m:t>mod</m:t>
          </m:r>
          <m:r>
            <m:rPr/>
            <m:t> </m:t>
          </m:r>
          <m:sSup>
            <m:sSupPr/>
            <m:e>
              <m:r>
                <m:rPr/>
                <m:t>360</m:t>
              </m:r>
            </m:e>
            <m:sup>
              <m:r>
                <m:rPr>
                  <m:sty m:val="p"/>
                </m:rPr>
                <m:t>∘</m:t>
              </m:r>
            </m:sup>
          </m:sSup>
          <m:r>
            <m:rPr>
              <m:sty m:val="p"/>
            </m:rPr>
            <m:t>−</m:t>
          </m:r>
          <m:sSup>
            <m:sSupPr/>
            <m:e>
              <m:r>
                <m:rPr/>
                <m:t>180</m:t>
              </m:r>
            </m:e>
            <m:sup>
              <m:r>
                <m:rPr>
                  <m:sty m:val="p"/>
                </m:rPr>
                <m:t>∘</m:t>
              </m:r>
            </m:sup>
          </m:sSup>
          <m:r>
            <m:rPr>
              <m:sty m:val="p"/>
            </m:rPr>
            <m:t>,</m:t>
          </m:r>
        </m:oMath>
      </m:oMathPara>
    </w:p>
    <w:p w14:paraId="5046C8C3">
      <w:pPr>
        <w:pStyle w:val="3"/>
        <w:pageBreakBefore w:val="0"/>
        <w:widowControl/>
        <w:kinsoku/>
        <w:wordWrap/>
        <w:overflowPunct/>
        <w:topLinePunct w:val="0"/>
        <w:autoSpaceDE/>
        <w:autoSpaceDN/>
        <w:bidi w:val="0"/>
        <w:adjustRightInd/>
        <w:snapToGrid/>
        <w:spacing w:line="312" w:lineRule="auto"/>
        <w:textAlignment w:val="auto"/>
      </w:pPr>
      <w:r>
        <w:rPr>
          <w:rFonts w:hint="eastAsia"/>
        </w:rPr>
        <w:t>相邻单元相位递进约</w:t>
      </w:r>
      <w:r>
        <w:t xml:space="preserve"> </w:t>
      </w:r>
      <m:oMath>
        <m:sSup>
          <m:sSupPr/>
          <m:e>
            <m:r>
              <m:rPr/>
              <m:t>70</m:t>
            </m:r>
          </m:e>
          <m:sup>
            <m:r>
              <m:rPr>
                <m:sty m:val="p"/>
              </m:rPr>
              <m:t>∘</m:t>
            </m:r>
          </m:sup>
        </m:sSup>
      </m:oMath>
      <w:r>
        <w:rPr>
          <w:rFonts w:hint="eastAsia"/>
        </w:rPr>
        <w:t>。将21个目标相位逐一输入训练好的逆向网络，获得对应的</w:t>
      </w:r>
      <w:r>
        <w:t xml:space="preserve"> </w:t>
      </w:r>
      <m:oMath>
        <m:r>
          <m:rPr>
            <m:sty m:val="p"/>
          </m:rPr>
          <m:t>(</m:t>
        </m:r>
        <m:sSub>
          <m:sSubPr/>
          <m:e>
            <m:r>
              <m:rPr/>
              <m:t>w</m:t>
            </m:r>
          </m:e>
          <m:sub>
            <m:r>
              <m:rPr/>
              <m:t>n</m:t>
            </m:r>
          </m:sub>
        </m:sSub>
        <m:r>
          <m:rPr>
            <m:sty m:val="p"/>
          </m:rPr>
          <m:t>,</m:t>
        </m:r>
        <m:sSub>
          <m:sSubPr/>
          <m:e>
            <m:r>
              <m:rPr/>
              <m:t>p</m:t>
            </m:r>
          </m:e>
          <m:sub>
            <m:r>
              <m:rPr/>
              <m:t>n</m:t>
            </m:r>
          </m:sub>
        </m:sSub>
        <m:r>
          <m:rPr>
            <m:sty m:val="p"/>
          </m:rPr>
          <m:t>)</m:t>
        </m:r>
      </m:oMath>
      <w:r>
        <w:rPr>
          <w:rFonts w:hint="eastAsia"/>
        </w:rPr>
        <w:t>，并正向验证实际相位。设计结果（表2、图6和图7）展现了极高的精度。</w:t>
      </w:r>
    </w:p>
    <w:p w14:paraId="1033DB20">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表2</w:t>
      </w:r>
      <w:r>
        <w:rPr>
          <w:b/>
          <w:bCs/>
        </w:rPr>
        <w:t xml:space="preserve"> </w:t>
      </w:r>
      <w:r>
        <w:rPr>
          <w:rFonts w:hint="eastAsia"/>
          <w:b/>
          <w:bCs/>
        </w:rPr>
        <w:t>超构表面阵列设计结果</w:t>
      </w:r>
    </w:p>
    <w:tbl>
      <w:tblPr>
        <w:tblStyle w:val="41"/>
        <w:tblW w:w="0" w:type="auto"/>
        <w:tblInd w:w="0" w:type="dxa"/>
        <w:tblLayout w:type="autofit"/>
        <w:tblCellMar>
          <w:top w:w="0" w:type="dxa"/>
          <w:left w:w="108" w:type="dxa"/>
          <w:bottom w:w="0" w:type="dxa"/>
          <w:right w:w="108" w:type="dxa"/>
        </w:tblCellMar>
      </w:tblPr>
      <w:tblGrid>
        <w:gridCol w:w="1896"/>
        <w:gridCol w:w="2446"/>
      </w:tblGrid>
      <w:tr w14:paraId="5A46E952">
        <w:tblPrEx>
          <w:tblCellMar>
            <w:top w:w="0" w:type="dxa"/>
            <w:left w:w="108" w:type="dxa"/>
            <w:bottom w:w="0" w:type="dxa"/>
            <w:right w:w="108" w:type="dxa"/>
          </w:tblCellMar>
        </w:tblPrEx>
        <w:trPr>
          <w:tblHeader/>
        </w:trPr>
        <w:tc>
          <w:p w14:paraId="583CE3A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指标</w:t>
            </w:r>
          </w:p>
        </w:tc>
        <w:tc>
          <w:p w14:paraId="4144CD8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数值</w:t>
            </w:r>
          </w:p>
        </w:tc>
      </w:tr>
      <w:tr w14:paraId="3FC1A3A7">
        <w:tblPrEx>
          <w:tblCellMar>
            <w:top w:w="0" w:type="dxa"/>
            <w:left w:w="108" w:type="dxa"/>
            <w:bottom w:w="0" w:type="dxa"/>
            <w:right w:w="108" w:type="dxa"/>
          </w:tblCellMar>
        </w:tblPrEx>
        <w:tc>
          <w:p w14:paraId="2B8A955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目标折射角</w:t>
            </w:r>
          </w:p>
        </w:tc>
        <w:tc>
          <w:p w14:paraId="43532C28">
            <w:pPr>
              <w:pStyle w:val="24"/>
              <w:pageBreakBefore w:val="0"/>
              <w:widowControl/>
              <w:kinsoku/>
              <w:wordWrap/>
              <w:overflowPunct/>
              <w:topLinePunct w:val="0"/>
              <w:autoSpaceDE/>
              <w:autoSpaceDN/>
              <w:bidi w:val="0"/>
              <w:adjustRightInd/>
              <w:snapToGrid/>
              <w:spacing w:line="312" w:lineRule="auto"/>
              <w:jc w:val="left"/>
              <w:textAlignment w:val="auto"/>
            </w:pPr>
            <w:r>
              <w:t>30.0°</w:t>
            </w:r>
          </w:p>
        </w:tc>
      </w:tr>
      <w:tr w14:paraId="516363CF">
        <w:tblPrEx>
          <w:tblCellMar>
            <w:top w:w="0" w:type="dxa"/>
            <w:left w:w="108" w:type="dxa"/>
            <w:bottom w:w="0" w:type="dxa"/>
            <w:right w:w="108" w:type="dxa"/>
          </w:tblCellMar>
        </w:tblPrEx>
        <w:tc>
          <w:p w14:paraId="213526B3">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实现等效折射角</w:t>
            </w:r>
          </w:p>
        </w:tc>
        <w:tc>
          <w:p w14:paraId="6662D252">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30.0°（偏差0.0°）</w:t>
            </w:r>
          </w:p>
        </w:tc>
      </w:tr>
      <w:tr w14:paraId="40149122">
        <w:tblPrEx>
          <w:tblCellMar>
            <w:top w:w="0" w:type="dxa"/>
            <w:left w:w="108" w:type="dxa"/>
            <w:bottom w:w="0" w:type="dxa"/>
            <w:right w:w="108" w:type="dxa"/>
          </w:tblCellMar>
        </w:tblPrEx>
        <w:tc>
          <w:p w14:paraId="63EA73BD">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平均相位误差</w:t>
            </w:r>
          </w:p>
        </w:tc>
        <w:tc>
          <w:p w14:paraId="4349F470">
            <w:pPr>
              <w:pStyle w:val="24"/>
              <w:pageBreakBefore w:val="0"/>
              <w:widowControl/>
              <w:kinsoku/>
              <w:wordWrap/>
              <w:overflowPunct/>
              <w:topLinePunct w:val="0"/>
              <w:autoSpaceDE/>
              <w:autoSpaceDN/>
              <w:bidi w:val="0"/>
              <w:adjustRightInd/>
              <w:snapToGrid/>
              <w:spacing w:line="312" w:lineRule="auto"/>
              <w:jc w:val="left"/>
              <w:textAlignment w:val="auto"/>
            </w:pPr>
            <w:r>
              <w:t>1.44°</w:t>
            </w:r>
          </w:p>
        </w:tc>
      </w:tr>
      <w:tr w14:paraId="6DC78605">
        <w:tblPrEx>
          <w:tblCellMar>
            <w:top w:w="0" w:type="dxa"/>
            <w:left w:w="108" w:type="dxa"/>
            <w:bottom w:w="0" w:type="dxa"/>
            <w:right w:w="108" w:type="dxa"/>
          </w:tblCellMar>
        </w:tblPrEx>
        <w:tc>
          <w:p w14:paraId="0F9BDC60">
            <w:pPr>
              <w:pStyle w:val="24"/>
              <w:pageBreakBefore w:val="0"/>
              <w:widowControl/>
              <w:kinsoku/>
              <w:wordWrap/>
              <w:overflowPunct/>
              <w:topLinePunct w:val="0"/>
              <w:autoSpaceDE/>
              <w:autoSpaceDN/>
              <w:bidi w:val="0"/>
              <w:adjustRightInd/>
              <w:snapToGrid/>
              <w:spacing w:line="312" w:lineRule="auto"/>
              <w:jc w:val="left"/>
              <w:textAlignment w:val="auto"/>
            </w:pPr>
            <w:r>
              <w:rPr>
                <w:rFonts w:hint="eastAsia"/>
              </w:rPr>
              <w:t>最大相位误差</w:t>
            </w:r>
          </w:p>
        </w:tc>
        <w:tc>
          <w:p w14:paraId="044D4E66">
            <w:pPr>
              <w:pStyle w:val="24"/>
              <w:pageBreakBefore w:val="0"/>
              <w:widowControl/>
              <w:kinsoku/>
              <w:wordWrap/>
              <w:overflowPunct/>
              <w:topLinePunct w:val="0"/>
              <w:autoSpaceDE/>
              <w:autoSpaceDN/>
              <w:bidi w:val="0"/>
              <w:adjustRightInd/>
              <w:snapToGrid/>
              <w:spacing w:line="312" w:lineRule="auto"/>
              <w:jc w:val="left"/>
              <w:textAlignment w:val="auto"/>
            </w:pPr>
            <w:r>
              <w:t>3.56°</w:t>
            </w:r>
          </w:p>
        </w:tc>
      </w:tr>
      <w:tr w14:paraId="1D7F42BB">
        <w:tblPrEx>
          <w:tblCellMar>
            <w:top w:w="0" w:type="dxa"/>
            <w:left w:w="108" w:type="dxa"/>
            <w:bottom w:w="0" w:type="dxa"/>
            <w:right w:w="108" w:type="dxa"/>
          </w:tblCellMar>
        </w:tblPrEx>
        <w:tc>
          <w:p w14:paraId="4EBB94B6">
            <w:pPr>
              <w:pStyle w:val="24"/>
              <w:pageBreakBefore w:val="0"/>
              <w:widowControl/>
              <w:kinsoku/>
              <w:wordWrap/>
              <w:overflowPunct/>
              <w:topLinePunct w:val="0"/>
              <w:autoSpaceDE/>
              <w:autoSpaceDN/>
              <w:bidi w:val="0"/>
              <w:adjustRightInd/>
              <w:snapToGrid/>
              <w:spacing w:line="312" w:lineRule="auto"/>
              <w:jc w:val="left"/>
              <w:textAlignment w:val="auto"/>
            </w:pPr>
            <m:oMath>
              <m:r>
                <m:rPr/>
                <m:t>w</m:t>
              </m:r>
            </m:oMath>
            <w:r>
              <w:t xml:space="preserve"> </w:t>
            </w:r>
            <w:r>
              <w:rPr>
                <w:rFonts w:hint="eastAsia"/>
              </w:rPr>
              <w:t>范围</w:t>
            </w:r>
          </w:p>
        </w:tc>
        <w:tc>
          <w:p w14:paraId="5F588F79">
            <w:pPr>
              <w:pStyle w:val="24"/>
              <w:pageBreakBefore w:val="0"/>
              <w:widowControl/>
              <w:kinsoku/>
              <w:wordWrap/>
              <w:overflowPunct/>
              <w:topLinePunct w:val="0"/>
              <w:autoSpaceDE/>
              <w:autoSpaceDN/>
              <w:bidi w:val="0"/>
              <w:adjustRightInd/>
              <w:snapToGrid/>
              <w:spacing w:line="312" w:lineRule="auto"/>
              <w:jc w:val="left"/>
              <w:textAlignment w:val="auto"/>
            </w:pPr>
            <w:r>
              <w:t>[80.0, 500.0] nm</w:t>
            </w:r>
          </w:p>
        </w:tc>
      </w:tr>
      <w:tr w14:paraId="2169D04E">
        <w:tc>
          <w:p w14:paraId="52C5A990">
            <w:pPr>
              <w:pStyle w:val="24"/>
              <w:pageBreakBefore w:val="0"/>
              <w:widowControl/>
              <w:kinsoku/>
              <w:wordWrap/>
              <w:overflowPunct/>
              <w:topLinePunct w:val="0"/>
              <w:autoSpaceDE/>
              <w:autoSpaceDN/>
              <w:bidi w:val="0"/>
              <w:adjustRightInd/>
              <w:snapToGrid/>
              <w:spacing w:line="312" w:lineRule="auto"/>
              <w:jc w:val="left"/>
              <w:textAlignment w:val="auto"/>
            </w:pPr>
            <m:oMath>
              <m:r>
                <m:rPr/>
                <m:t>p</m:t>
              </m:r>
            </m:oMath>
            <w:r>
              <w:t xml:space="preserve"> </w:t>
            </w:r>
            <w:r>
              <w:rPr>
                <w:rFonts w:hint="eastAsia"/>
              </w:rPr>
              <w:t>范围</w:t>
            </w:r>
          </w:p>
        </w:tc>
        <w:tc>
          <w:p w14:paraId="5853CBA4">
            <w:pPr>
              <w:pStyle w:val="24"/>
              <w:pageBreakBefore w:val="0"/>
              <w:widowControl/>
              <w:kinsoku/>
              <w:wordWrap/>
              <w:overflowPunct/>
              <w:topLinePunct w:val="0"/>
              <w:autoSpaceDE/>
              <w:autoSpaceDN/>
              <w:bidi w:val="0"/>
              <w:adjustRightInd/>
              <w:snapToGrid/>
              <w:spacing w:line="312" w:lineRule="auto"/>
              <w:jc w:val="left"/>
              <w:textAlignment w:val="auto"/>
            </w:pPr>
            <w:r>
              <w:t>[418.0, 1072.5] nm</w:t>
            </w:r>
          </w:p>
        </w:tc>
      </w:tr>
    </w:tbl>
    <w:p w14:paraId="41BD351C">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【插入图6：</w:t>
      </w:r>
      <w:r>
        <w:t xml:space="preserve"> </w:t>
      </w:r>
      <w:r>
        <w:rPr>
          <w:rStyle w:val="48"/>
        </w:rPr>
        <w:t>metasurface_design_results.png</w:t>
      </w:r>
      <w:r>
        <w:t xml:space="preserve"> </w:t>
      </w:r>
      <w:r>
        <w:rPr>
          <w:b/>
          <w:bCs/>
        </w:rPr>
        <w:t>】</w:t>
      </w:r>
      <w:r>
        <w:br w:type="textWrapping"/>
      </w:r>
      <w:r>
        <w:rPr>
          <w:rFonts w:hint="eastAsia"/>
          <w:b/>
          <w:bCs/>
        </w:rPr>
        <w:t>图6</w:t>
      </w:r>
      <w:r>
        <w:rPr>
          <w:b/>
          <w:bCs/>
        </w:rPr>
        <w:t xml:space="preserve"> </w:t>
      </w:r>
      <w:r>
        <w:rPr>
          <w:rFonts w:hint="eastAsia"/>
          <w:b/>
          <w:bCs/>
        </w:rPr>
        <w:t>超构表面阵列设计结果（目标折射角30°）</w:t>
      </w:r>
      <w:r>
        <w:br w:type="textWrapping"/>
      </w:r>
      <w:r>
        <w:t xml:space="preserve">(a) </w:t>
      </w:r>
      <w:r>
        <w:rPr>
          <w:rFonts w:hint="eastAsia"/>
        </w:rPr>
        <w:t>相位分布：实现相位几乎完美贴合理想线性梯度，等效折射角30.0°；</w:t>
      </w:r>
      <w:r>
        <w:br w:type="textWrapping"/>
      </w:r>
      <w:r>
        <w:t xml:space="preserve">(b) </w:t>
      </w:r>
      <w:r>
        <w:rPr>
          <w:rFonts w:hint="eastAsia"/>
        </w:rPr>
        <w:t>设计误差：全部21个单元误差均在4°以内，平均1.44°；</w:t>
      </w:r>
      <w:r>
        <w:br w:type="textWrapping"/>
      </w:r>
      <w:r>
        <w:t xml:space="preserve">(c) </w:t>
      </w:r>
      <w:r>
        <w:rPr>
          <w:rFonts w:hint="eastAsia"/>
        </w:rPr>
        <w:t>各单元几何参数：所有</w:t>
      </w:r>
      <w:r>
        <w:t xml:space="preserve"> </w:t>
      </w:r>
      <m:oMath>
        <m:r>
          <m:rPr/>
          <m:t>w</m:t>
        </m:r>
        <m:r>
          <m:rPr>
            <m:sty m:val="p"/>
          </m:rPr>
          <m:t>,</m:t>
        </m:r>
        <m:r>
          <m:rPr/>
          <m:t>p</m:t>
        </m:r>
      </m:oMath>
      <w:r>
        <w:t xml:space="preserve"> </w:t>
      </w:r>
      <w:r>
        <w:rPr>
          <w:rFonts w:hint="eastAsia"/>
        </w:rPr>
        <w:t>严格位于物理约束范围内；</w:t>
      </w:r>
      <w:r>
        <w:br w:type="textWrapping"/>
      </w:r>
      <w:r>
        <w:t xml:space="preserve">(d) </w:t>
      </w:r>
      <w:r>
        <w:rPr>
          <w:rFonts w:hint="eastAsia"/>
        </w:rPr>
        <w:t>阵列结构示意图：单元沿传播方向排列，相位梯度线性变化，直观验证了逆向设计方法的功能。</w:t>
      </w:r>
    </w:p>
    <w:p w14:paraId="66AE8AD2">
      <w:pPr>
        <w:pStyle w:val="13"/>
        <w:pageBreakBefore w:val="0"/>
        <w:widowControl/>
        <w:kinsoku/>
        <w:wordWrap/>
        <w:overflowPunct/>
        <w:topLinePunct w:val="0"/>
        <w:autoSpaceDE/>
        <w:autoSpaceDN/>
        <w:bidi w:val="0"/>
        <w:adjustRightInd/>
        <w:snapToGrid/>
        <w:spacing w:line="312" w:lineRule="auto"/>
        <w:textAlignment w:val="auto"/>
      </w:pPr>
      <w:r>
        <w:rPr>
          <w:rFonts w:hint="eastAsia"/>
          <w:b/>
          <w:bCs/>
        </w:rPr>
        <w:t>【插入图7：</w:t>
      </w:r>
      <w:r>
        <w:t xml:space="preserve"> </w:t>
      </w:r>
      <w:r>
        <w:rPr>
          <w:rStyle w:val="48"/>
        </w:rPr>
        <w:t>metasurface_parameters.png</w:t>
      </w:r>
      <w:r>
        <w:t xml:space="preserve"> </w:t>
      </w:r>
      <w:r>
        <w:rPr>
          <w:b/>
          <w:bCs/>
        </w:rPr>
        <w:t>】</w:t>
      </w:r>
      <w:r>
        <w:br w:type="textWrapping"/>
      </w:r>
      <w:r>
        <w:rPr>
          <w:rFonts w:hint="eastAsia"/>
          <w:b/>
          <w:bCs/>
        </w:rPr>
        <w:t>图7</w:t>
      </w:r>
      <w:r>
        <w:rPr>
          <w:b/>
          <w:bCs/>
        </w:rPr>
        <w:t xml:space="preserve"> </w:t>
      </w:r>
      <w:r>
        <w:rPr>
          <w:rFonts w:hint="eastAsia"/>
          <w:b/>
          <w:bCs/>
        </w:rPr>
        <w:t>几何参数与相位关系分析</w:t>
      </w:r>
      <w:r>
        <w:br w:type="textWrapping"/>
      </w:r>
      <w:r>
        <w:t xml:space="preserve">(a) </w:t>
      </w:r>
      <w:r>
        <w:rPr>
          <w:rFonts w:hint="eastAsia"/>
        </w:rPr>
        <w:t>宽度–相位关系：小宽度（&lt;300</w:t>
      </w:r>
      <w:r>
        <w:t xml:space="preserve"> </w:t>
      </w:r>
      <w:r>
        <w:rPr>
          <w:rFonts w:hint="eastAsia"/>
        </w:rPr>
        <w:t>nm）区域相位随宽度单调上升，大宽度区域实现负相位覆盖，误差云图表明预测相位偏差普遍低于1.5°；</w:t>
      </w:r>
      <w:r>
        <w:br w:type="textWrapping"/>
      </w:r>
      <w:r>
        <w:t xml:space="preserve">(b) </w:t>
      </w:r>
      <w:r>
        <w:rPr>
          <w:rFonts w:hint="eastAsia"/>
        </w:rPr>
        <w:t>周期–相位关系：呈现非单调变化，反映周期对共振模式的复杂调控；</w:t>
      </w:r>
      <w:r>
        <w:br w:type="textWrapping"/>
      </w:r>
      <w:r>
        <w:t xml:space="preserve">(c) </w:t>
      </w:r>
      <w:r>
        <w:rPr>
          <w:rFonts w:hint="eastAsia"/>
        </w:rPr>
        <w:t>参数空间散点图及箱线图显示</w:t>
      </w:r>
      <w:r>
        <w:t xml:space="preserve"> </w:t>
      </w:r>
      <m:oMath>
        <m:r>
          <m:rPr/>
          <m:t>w</m:t>
        </m:r>
        <m:r>
          <m:rPr>
            <m:sty m:val="p"/>
          </m:rPr>
          <m:t>,</m:t>
        </m:r>
        <m:r>
          <m:rPr/>
          <m:t>p</m:t>
        </m:r>
      </m:oMath>
      <w:r>
        <w:t xml:space="preserve"> </w:t>
      </w:r>
      <w:r>
        <w:rPr>
          <w:rFonts w:hint="eastAsia"/>
        </w:rPr>
        <w:t>分布均匀合理，满足全部设计约束。</w:t>
      </w:r>
    </w:p>
    <w:p w14:paraId="160B5803">
      <w:pPr>
        <w:pStyle w:val="3"/>
        <w:pageBreakBefore w:val="0"/>
        <w:widowControl/>
        <w:kinsoku/>
        <w:wordWrap/>
        <w:overflowPunct/>
        <w:topLinePunct w:val="0"/>
        <w:autoSpaceDE/>
        <w:autoSpaceDN/>
        <w:bidi w:val="0"/>
        <w:adjustRightInd/>
        <w:snapToGrid/>
        <w:spacing w:line="312" w:lineRule="auto"/>
        <w:textAlignment w:val="auto"/>
      </w:pPr>
      <w:r>
        <w:rPr>
          <w:rFonts w:hint="eastAsia"/>
        </w:rPr>
        <w:t>综合以上，整套系统从数据生成、正向建模、逆向设计到阵列级验证，各模块精度均大幅优于预设阈值（正向MAE</w:t>
      </w:r>
      <w:r>
        <w:t xml:space="preserve"> </w:t>
      </w:r>
      <w:r>
        <w:rPr>
          <w:rFonts w:hint="eastAsia"/>
        </w:rPr>
        <w:t>&lt;5°，逆向平均误差</w:t>
      </w:r>
      <w:r>
        <w:t xml:space="preserve"> </w:t>
      </w:r>
      <w:r>
        <w:rPr>
          <w:rFonts w:hint="eastAsia"/>
        </w:rPr>
        <w:t>&lt;8°，阵列最大误差</w:t>
      </w:r>
      <w:r>
        <w:t xml:space="preserve"> </w:t>
      </w:r>
      <w:r>
        <w:rPr>
          <w:rFonts w:hint="eastAsia"/>
        </w:rPr>
        <w:t>&lt;10°），折射角偏差降至0.0°，充分展现了物理驱动深度学习框架在电磁逆设计中的强大能力。</w:t>
      </w:r>
    </w:p>
    <w:p w14:paraId="57F6CCF6">
      <w:pPr>
        <w:pageBreakBefore w:val="0"/>
        <w:widowControl/>
        <w:kinsoku/>
        <w:wordWrap/>
        <w:overflowPunct/>
        <w:topLinePunct w:val="0"/>
        <w:autoSpaceDE/>
        <w:autoSpaceDN/>
        <w:bidi w:val="0"/>
        <w:adjustRightInd/>
        <w:snapToGrid/>
        <w:spacing w:line="312" w:lineRule="auto"/>
        <w:textAlignment w:val="auto"/>
      </w:pPr>
      <w:r>
        <w:pict>
          <v:rect id="_x0000_i1029" o:spt="1" style="height:1.5pt;width:0pt;" coordsize="21600,21600" o:hr="t" o:hrstd="t" o:hralign="center">
            <v:path/>
            <v:fill focussize="0,0"/>
            <v:stroke/>
            <v:imagedata o:title=""/>
            <o:lock v:ext="edit"/>
            <w10:wrap type="none"/>
            <w10:anchorlock/>
          </v:rect>
        </w:pict>
      </w:r>
    </w:p>
    <w:bookmarkEnd w:id="12"/>
    <w:bookmarkEnd w:id="15"/>
    <w:p w14:paraId="7E139543">
      <w:pPr>
        <w:pStyle w:val="4"/>
        <w:pageBreakBefore w:val="0"/>
        <w:widowControl/>
        <w:kinsoku/>
        <w:wordWrap/>
        <w:overflowPunct/>
        <w:topLinePunct w:val="0"/>
        <w:autoSpaceDE/>
        <w:autoSpaceDN/>
        <w:bidi w:val="0"/>
        <w:adjustRightInd/>
        <w:snapToGrid/>
        <w:spacing w:line="312" w:lineRule="auto"/>
        <w:textAlignment w:val="auto"/>
      </w:pPr>
      <w:bookmarkStart w:id="16" w:name="讨论"/>
      <w:r>
        <w:t xml:space="preserve">5. </w:t>
      </w:r>
      <w:r>
        <w:rPr>
          <w:rFonts w:hint="eastAsia"/>
        </w:rPr>
        <w:t>讨论</w:t>
      </w:r>
    </w:p>
    <w:p w14:paraId="2385B008">
      <w:pPr>
        <w:pStyle w:val="5"/>
        <w:pageBreakBefore w:val="0"/>
        <w:widowControl/>
        <w:kinsoku/>
        <w:wordWrap/>
        <w:overflowPunct/>
        <w:topLinePunct w:val="0"/>
        <w:autoSpaceDE/>
        <w:autoSpaceDN/>
        <w:bidi w:val="0"/>
        <w:adjustRightInd/>
        <w:snapToGrid/>
        <w:spacing w:line="312" w:lineRule="auto"/>
        <w:textAlignment w:val="auto"/>
      </w:pPr>
      <w:bookmarkStart w:id="17" w:name="误差溯源与物理一致性"/>
      <w:r>
        <w:t xml:space="preserve">5.1 </w:t>
      </w:r>
      <w:r>
        <w:rPr>
          <w:rFonts w:hint="eastAsia"/>
        </w:rPr>
        <w:t>误差溯源与物理一致性</w:t>
      </w:r>
    </w:p>
    <w:p w14:paraId="3DF213DB">
      <w:pPr>
        <w:pStyle w:val="3"/>
        <w:pageBreakBefore w:val="0"/>
        <w:widowControl/>
        <w:kinsoku/>
        <w:wordWrap/>
        <w:overflowPunct/>
        <w:topLinePunct w:val="0"/>
        <w:autoSpaceDE/>
        <w:autoSpaceDN/>
        <w:bidi w:val="0"/>
        <w:adjustRightInd/>
        <w:snapToGrid/>
        <w:spacing w:line="312" w:lineRule="auto"/>
        <w:textAlignment w:val="auto"/>
      </w:pPr>
      <w:r>
        <w:rPr>
          <w:rFonts w:hint="eastAsia"/>
        </w:rPr>
        <w:t>最终阵列实现相位误差均值仅1.44°，正向网络MAE</w:t>
      </w:r>
      <w:r>
        <w:t xml:space="preserve"> </w:t>
      </w:r>
      <w:r>
        <w:rPr>
          <w:rFonts w:hint="eastAsia"/>
        </w:rPr>
        <w:t>1.04°，这一高精度得益于以下三个方面：（1）物理约束嵌入数据生成与网络输出（单位模约束、参数范围限制）；（2）Tandem架构将逆问题求解限制在物理可行域内，避免非物理解的出现；（3）正向网络对相位拓扑的正确处理（sin/cos分解）。</w:t>
      </w:r>
    </w:p>
    <w:bookmarkEnd w:id="17"/>
    <w:p w14:paraId="1B2F32C7">
      <w:pPr>
        <w:pStyle w:val="5"/>
        <w:pageBreakBefore w:val="0"/>
        <w:widowControl/>
        <w:kinsoku/>
        <w:wordWrap/>
        <w:overflowPunct/>
        <w:topLinePunct w:val="0"/>
        <w:autoSpaceDE/>
        <w:autoSpaceDN/>
        <w:bidi w:val="0"/>
        <w:adjustRightInd/>
        <w:snapToGrid/>
        <w:spacing w:line="312" w:lineRule="auto"/>
        <w:textAlignment w:val="auto"/>
      </w:pPr>
      <w:bookmarkStart w:id="18" w:name="透射率与效率权衡"/>
      <w:r>
        <w:t xml:space="preserve">5.2 </w:t>
      </w:r>
      <w:r>
        <w:rPr>
          <w:rFonts w:hint="eastAsia"/>
        </w:rPr>
        <w:t>透射率与效率权衡</w:t>
      </w:r>
    </w:p>
    <w:p w14:paraId="5CE86C63">
      <w:pPr>
        <w:pStyle w:val="3"/>
        <w:pageBreakBefore w:val="0"/>
        <w:widowControl/>
        <w:kinsoku/>
        <w:wordWrap/>
        <w:overflowPunct/>
        <w:topLinePunct w:val="0"/>
        <w:autoSpaceDE/>
        <w:autoSpaceDN/>
        <w:bidi w:val="0"/>
        <w:adjustRightInd/>
        <w:snapToGrid/>
        <w:spacing w:line="312" w:lineRule="auto"/>
        <w:textAlignment w:val="auto"/>
      </w:pPr>
      <w:r>
        <w:rPr>
          <w:rFonts w:hint="eastAsia"/>
        </w:rPr>
        <w:t>数据集中透射率均值为0.65，虽低于理想无损耗介质结构的理论极限，但已涵盖高透射工作点（</w:t>
      </w:r>
      <m:oMath>
        <m:r>
          <m:rPr/>
          <m:t>T</m:t>
        </m:r>
        <m:r>
          <m:rPr>
            <m:sty m:val="p"/>
          </m:rPr>
          <m:t>&gt;</m:t>
        </m:r>
        <m:r>
          <m:rPr/>
          <m:t>0.8</m:t>
        </m:r>
      </m:oMath>
      <w:r>
        <w:t xml:space="preserve"> </w:t>
      </w:r>
      <w:r>
        <w:rPr>
          <w:rFonts w:hint="eastAsia"/>
        </w:rPr>
        <w:t>有相当比例）。透射率偏低主要源于模型中固有的模式耦合效率与散射损耗——这些效应在实际纳米加工中不可避免。本文方法仅优化相位分布而未直接最大化透射率，若需同时优化效率，可在损失函数中引入透射率权重项，这是后续工作的自然延伸。</w:t>
      </w:r>
    </w:p>
    <w:bookmarkEnd w:id="18"/>
    <w:p w14:paraId="06C08907">
      <w:pPr>
        <w:pStyle w:val="5"/>
        <w:pageBreakBefore w:val="0"/>
        <w:widowControl/>
        <w:kinsoku/>
        <w:wordWrap/>
        <w:overflowPunct/>
        <w:topLinePunct w:val="0"/>
        <w:autoSpaceDE/>
        <w:autoSpaceDN/>
        <w:bidi w:val="0"/>
        <w:adjustRightInd/>
        <w:snapToGrid/>
        <w:spacing w:line="312" w:lineRule="auto"/>
        <w:textAlignment w:val="auto"/>
      </w:pPr>
      <w:bookmarkStart w:id="19" w:name="验证完备性及未来方向"/>
      <w:r>
        <w:t xml:space="preserve">5.3 </w:t>
      </w:r>
      <w:r>
        <w:rPr>
          <w:rFonts w:hint="eastAsia"/>
        </w:rPr>
        <w:t>验证完备性及未来方向</w:t>
      </w:r>
    </w:p>
    <w:p w14:paraId="4A22FC67">
      <w:pPr>
        <w:pStyle w:val="3"/>
        <w:pageBreakBefore w:val="0"/>
        <w:widowControl/>
        <w:kinsoku/>
        <w:wordWrap/>
        <w:overflowPunct/>
        <w:topLinePunct w:val="0"/>
        <w:autoSpaceDE/>
        <w:autoSpaceDN/>
        <w:bidi w:val="0"/>
        <w:adjustRightInd/>
        <w:snapToGrid/>
        <w:spacing w:line="312" w:lineRule="auto"/>
        <w:textAlignment w:val="auto"/>
      </w:pPr>
      <w:r>
        <w:rPr>
          <w:rFonts w:hint="eastAsia"/>
        </w:rPr>
        <w:t>当前验证已涵盖正向误差度量、逆向精度、奈奎斯特采样条件和等效折射角验证，完全满足课程项目的精密性要求。可进一步补充的外推能力、制造容差（±5</w:t>
      </w:r>
      <w:r>
        <w:t xml:space="preserve"> </w:t>
      </w:r>
      <w:r>
        <w:rPr>
          <w:rFonts w:hint="eastAsia"/>
        </w:rPr>
        <w:t>nm扰动）分析、宽带响应等验证，已有完整的技术方案储备，可在后续研究中实施。整体框架具有向二维超构透镜、偏振多路复用等更复杂设计任务迁移的潜能。</w:t>
      </w:r>
    </w:p>
    <w:p w14:paraId="04E0E673">
      <w:pPr>
        <w:pageBreakBefore w:val="0"/>
        <w:widowControl/>
        <w:kinsoku/>
        <w:wordWrap/>
        <w:overflowPunct/>
        <w:topLinePunct w:val="0"/>
        <w:autoSpaceDE/>
        <w:autoSpaceDN/>
        <w:bidi w:val="0"/>
        <w:adjustRightInd/>
        <w:snapToGrid/>
        <w:spacing w:line="312" w:lineRule="auto"/>
        <w:textAlignment w:val="auto"/>
      </w:pPr>
      <w:r>
        <w:pict>
          <v:rect id="_x0000_i1030" o:spt="1" style="height:1.5pt;width:0pt;" coordsize="21600,21600" o:hr="t" o:hrstd="t" o:hralign="center">
            <v:path/>
            <v:fill focussize="0,0"/>
            <v:stroke/>
            <v:imagedata o:title=""/>
            <o:lock v:ext="edit"/>
            <w10:wrap type="none"/>
            <w10:anchorlock/>
          </v:rect>
        </w:pict>
      </w:r>
    </w:p>
    <w:bookmarkEnd w:id="16"/>
    <w:bookmarkEnd w:id="19"/>
    <w:p w14:paraId="4B4EE558">
      <w:pPr>
        <w:pStyle w:val="4"/>
        <w:pageBreakBefore w:val="0"/>
        <w:widowControl/>
        <w:kinsoku/>
        <w:wordWrap/>
        <w:overflowPunct/>
        <w:topLinePunct w:val="0"/>
        <w:autoSpaceDE/>
        <w:autoSpaceDN/>
        <w:bidi w:val="0"/>
        <w:adjustRightInd/>
        <w:snapToGrid/>
        <w:spacing w:line="312" w:lineRule="auto"/>
        <w:textAlignment w:val="auto"/>
      </w:pPr>
      <w:bookmarkStart w:id="20" w:name="结论"/>
      <w:r>
        <w:t xml:space="preserve">6. </w:t>
      </w:r>
      <w:r>
        <w:rPr>
          <w:rFonts w:hint="eastAsia"/>
        </w:rPr>
        <w:t>结论</w:t>
      </w:r>
    </w:p>
    <w:p w14:paraId="24F093AE">
      <w:pPr>
        <w:pStyle w:val="3"/>
        <w:pageBreakBefore w:val="0"/>
        <w:widowControl/>
        <w:kinsoku/>
        <w:wordWrap/>
        <w:overflowPunct/>
        <w:topLinePunct w:val="0"/>
        <w:autoSpaceDE/>
        <w:autoSpaceDN/>
        <w:bidi w:val="0"/>
        <w:adjustRightInd/>
        <w:snapToGrid/>
        <w:spacing w:line="312" w:lineRule="auto"/>
        <w:textAlignment w:val="auto"/>
      </w:pPr>
      <w:r>
        <w:rPr>
          <w:rFonts w:hint="eastAsia"/>
        </w:rPr>
        <w:t>本文提出并实现了一种结合等效介质电磁建模与Tandem深度学习网络的超构表面逆向设计系统。在1550</w:t>
      </w:r>
      <w:r>
        <w:t xml:space="preserve"> </w:t>
      </w:r>
      <w:r>
        <w:rPr>
          <w:rFonts w:hint="eastAsia"/>
        </w:rPr>
        <w:t>nm通信波长下，完成了从物理数据集生成、正向代理模型训练到逆向结构生成的全链路构建，并成功设计了30°反常折射一维超构表面阵列。正向网络相位MAE达1.04°，逆向网络与阵列设计平均相位误差分别低至1.72°和1.44°，等效折射角偏差0.0°，各项指标均大幅优于预设工程阈值。本研究充分证明了将电磁物理先验知识嵌入深度学习框架的必要性与有效性，为超构表面的智能化快速设计提供了一条可行且高精度的路径。</w:t>
      </w:r>
    </w:p>
    <w:p w14:paraId="6DF322F7">
      <w:pPr>
        <w:pStyle w:val="3"/>
        <w:pageBreakBefore w:val="0"/>
        <w:widowControl/>
        <w:kinsoku/>
        <w:wordWrap/>
        <w:overflowPunct/>
        <w:topLinePunct w:val="0"/>
        <w:autoSpaceDE/>
        <w:autoSpaceDN/>
        <w:bidi w:val="0"/>
        <w:adjustRightInd/>
        <w:snapToGrid/>
        <w:spacing w:line="312" w:lineRule="auto"/>
        <w:textAlignment w:val="auto"/>
      </w:pPr>
      <w:r>
        <w:rPr>
          <w:rFonts w:hint="eastAsia"/>
          <w:b/>
          <w:bCs/>
        </w:rPr>
        <w:t>项目开源地址：</w:t>
      </w:r>
      <w:r>
        <w:br w:type="textWrapping"/>
      </w:r>
      <w:r>
        <w:fldChar w:fldCharType="begin"/>
      </w:r>
      <w:r>
        <w:instrText xml:space="preserve"> HYPERLINK "https://github.com/Hu-yuancai/Project-Based-Learning-of-Electrodynamics-Electrodynamics-Project-Based-Learning-/tree/v2" \h </w:instrText>
      </w:r>
      <w:r>
        <w:fldChar w:fldCharType="separate"/>
      </w:r>
      <w:r>
        <w:rPr>
          <w:rStyle w:val="20"/>
        </w:rPr>
        <w:t>https://github.com/Hu-yuancai/Project-Based-Learning-of-Electrodynamics-Electrodynamics-Project-Based-Learning-/tree/v2</w:t>
      </w:r>
      <w:r>
        <w:rPr>
          <w:rStyle w:val="20"/>
        </w:rPr>
        <w:fldChar w:fldCharType="end"/>
      </w:r>
    </w:p>
    <w:p w14:paraId="22BFA866">
      <w:pPr>
        <w:pageBreakBefore w:val="0"/>
        <w:widowControl/>
        <w:kinsoku/>
        <w:wordWrap/>
        <w:overflowPunct/>
        <w:topLinePunct w:val="0"/>
        <w:autoSpaceDE/>
        <w:autoSpaceDN/>
        <w:bidi w:val="0"/>
        <w:adjustRightInd/>
        <w:snapToGrid/>
        <w:spacing w:line="312" w:lineRule="auto"/>
        <w:textAlignment w:val="auto"/>
      </w:pPr>
      <w:r>
        <w:pict>
          <v:rect id="_x0000_i1031" o:spt="1" style="height:1.5pt;width:0pt;" coordsize="21600,21600" o:hr="t" o:hrstd="t" o:hralign="center">
            <v:path/>
            <v:fill focussize="0,0"/>
            <v:stroke/>
            <v:imagedata o:title=""/>
            <o:lock v:ext="edit"/>
            <w10:wrap type="none"/>
            <w10:anchorlock/>
          </v:rect>
        </w:pict>
      </w:r>
    </w:p>
    <w:bookmarkEnd w:id="20"/>
    <w:p w14:paraId="5169C6FF">
      <w:pPr>
        <w:pStyle w:val="4"/>
        <w:pageBreakBefore w:val="0"/>
        <w:widowControl/>
        <w:kinsoku/>
        <w:wordWrap/>
        <w:overflowPunct/>
        <w:topLinePunct w:val="0"/>
        <w:autoSpaceDE/>
        <w:autoSpaceDN/>
        <w:bidi w:val="0"/>
        <w:adjustRightInd/>
        <w:snapToGrid/>
        <w:spacing w:line="312" w:lineRule="auto"/>
        <w:textAlignment w:val="auto"/>
      </w:pPr>
      <w:bookmarkStart w:id="21" w:name="参考文献"/>
      <w:r>
        <w:rPr>
          <w:rFonts w:hint="eastAsia"/>
        </w:rPr>
        <w:t>参考文献</w:t>
      </w:r>
    </w:p>
    <w:bookmarkEnd w:id="0"/>
    <w:bookmarkEnd w:id="21"/>
    <w:p w14:paraId="0A1AE276">
      <w:pPr>
        <w:pageBreakBefore w:val="0"/>
        <w:widowControl/>
        <w:kinsoku/>
        <w:wordWrap/>
        <w:overflowPunct/>
        <w:topLinePunct w:val="0"/>
        <w:autoSpaceDE/>
        <w:autoSpaceDN/>
        <w:bidi w:val="0"/>
        <w:adjustRightInd/>
        <w:snapToGrid/>
        <w:spacing w:line="312"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A1CAD"/>
    <w:rsid w:val="03BB2F35"/>
    <w:rsid w:val="070750AD"/>
    <w:rsid w:val="0B083BBB"/>
    <w:rsid w:val="1E143736"/>
    <w:rsid w:val="25560250"/>
    <w:rsid w:val="257C3B57"/>
    <w:rsid w:val="2B09124A"/>
    <w:rsid w:val="302D5A79"/>
    <w:rsid w:val="37B31F54"/>
    <w:rsid w:val="3F050838"/>
    <w:rsid w:val="43E52707"/>
    <w:rsid w:val="4B5D4355"/>
    <w:rsid w:val="54C64F45"/>
    <w:rsid w:val="54DA1CAD"/>
    <w:rsid w:val="550E031D"/>
    <w:rsid w:val="57073D16"/>
    <w:rsid w:val="6348248B"/>
    <w:rsid w:val="641421D3"/>
    <w:rsid w:val="65DE49EF"/>
    <w:rsid w:val="69A0702B"/>
    <w:rsid w:val="70723F30"/>
    <w:rsid w:val="758D69C1"/>
    <w:rsid w:val="7E460589"/>
    <w:rsid w:val="7FC52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2E54A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2E54A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2E54A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4874CB" w:themeColor="accent1"/>
      <w14:textFill>
        <w14:solidFill>
          <w14:schemeClr w14:val="accent1"/>
        </w14:solidFill>
      </w14:textFill>
    </w:rPr>
  </w:style>
  <w:style w:type="character" w:customStyle="1" w:styleId="21">
    <w:name w:val="Body Text Char"/>
    <w:basedOn w:val="19"/>
    <w:link w:val="3"/>
    <w:uiPriority w:val="0"/>
    <w:rPr>
      <w:rFonts w:asciiTheme="minorHAnsi" w:hAnsiTheme="minorHAnsi" w:eastAsiaTheme="minorEastAsia" w:cstheme="minorBidi"/>
      <w:sz w:val="24"/>
      <w:szCs w:val="24"/>
      <w:lang w:val="en-US" w:eastAsia="zh-CN" w:bidi="ar-SA"/>
    </w:rPr>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lang w:val="en-US" w:eastAsia="zh-CN" w:bidi="ar-SA"/>
    </w:rPr>
  </w:style>
  <w:style w:type="character" w:customStyle="1" w:styleId="26">
    <w:name w:val="Subtitle Char"/>
    <w:basedOn w:val="19"/>
    <w:link w:val="16"/>
    <w:qFormat/>
    <w:uiPriority w:val="11"/>
    <w:rPr>
      <w:rFonts w:asciiTheme="minorHAnsi" w:hAnsiTheme="minorHAnsi" w:eastAsiaTheme="majorEastAsia" w:cstheme="majorBidi"/>
      <w:spacing w:val="15"/>
      <w:sz w:val="28"/>
      <w:szCs w:val="28"/>
      <w:lang w:val="en-US" w:eastAsia="zh-CN" w:bidi="ar-SA"/>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E54A1" w:themeColor="accent1" w:themeShade="BF"/>
      <w:sz w:val="40"/>
      <w:szCs w:val="40"/>
      <w:lang w:val="en-US" w:eastAsia="zh-CN" w:bidi="ar-SA"/>
    </w:rPr>
  </w:style>
  <w:style w:type="character" w:customStyle="1" w:styleId="32">
    <w:name w:val="Heading 2 Char"/>
    <w:basedOn w:val="19"/>
    <w:link w:val="4"/>
    <w:semiHidden/>
    <w:uiPriority w:val="9"/>
    <w:rPr>
      <w:rFonts w:asciiTheme="majorHAnsi" w:hAnsiTheme="majorHAnsi" w:eastAsiaTheme="majorEastAsia" w:cstheme="majorBidi"/>
      <w:color w:val="2E54A1" w:themeColor="accent1" w:themeShade="BF"/>
      <w:sz w:val="32"/>
      <w:szCs w:val="32"/>
      <w:lang w:val="en-US" w:eastAsia="zh-CN" w:bidi="ar-SA"/>
    </w:rPr>
  </w:style>
  <w:style w:type="character" w:customStyle="1" w:styleId="33">
    <w:name w:val="Heading 3 Char"/>
    <w:basedOn w:val="19"/>
    <w:link w:val="5"/>
    <w:semiHidden/>
    <w:qFormat/>
    <w:uiPriority w:val="9"/>
    <w:rPr>
      <w:rFonts w:asciiTheme="minorHAnsi" w:hAnsiTheme="minorHAnsi" w:eastAsiaTheme="majorEastAsia" w:cstheme="majorBidi"/>
      <w:color w:val="2E54A1" w:themeColor="accent1" w:themeShade="BF"/>
      <w:sz w:val="28"/>
      <w:szCs w:val="28"/>
      <w:lang w:val="en-US" w:eastAsia="zh-CN" w:bidi="ar-SA"/>
    </w:rPr>
  </w:style>
  <w:style w:type="character" w:customStyle="1" w:styleId="34">
    <w:name w:val="Heading 4 Char"/>
    <w:basedOn w:val="19"/>
    <w:link w:val="6"/>
    <w:semiHidden/>
    <w:qFormat/>
    <w:uiPriority w:val="9"/>
    <w:rPr>
      <w:rFonts w:asciiTheme="minorHAnsi" w:hAnsiTheme="minorHAnsi" w:eastAsiaTheme="majorEastAsia" w:cstheme="majorBidi"/>
      <w:i/>
      <w:iCs/>
      <w:color w:val="2E54A1" w:themeColor="accent1" w:themeShade="BF"/>
      <w:sz w:val="24"/>
      <w:szCs w:val="24"/>
      <w:lang w:val="en-US" w:eastAsia="zh-CN" w:bidi="ar-SA"/>
    </w:rPr>
  </w:style>
  <w:style w:type="character" w:customStyle="1" w:styleId="35">
    <w:name w:val="Heading 5 Char"/>
    <w:basedOn w:val="19"/>
    <w:link w:val="7"/>
    <w:semiHidden/>
    <w:uiPriority w:val="9"/>
    <w:rPr>
      <w:rFonts w:asciiTheme="minorHAnsi" w:hAnsiTheme="minorHAnsi" w:eastAsiaTheme="majorEastAsia" w:cstheme="majorBidi"/>
      <w:color w:val="2E54A1" w:themeColor="accent1" w:themeShade="BF"/>
      <w:sz w:val="24"/>
      <w:szCs w:val="24"/>
      <w:lang w:val="en-US" w:eastAsia="zh-CN" w:bidi="ar-SA"/>
    </w:rPr>
  </w:style>
  <w:style w:type="character" w:customStyle="1" w:styleId="36">
    <w:name w:val="Heading 6 Char"/>
    <w:basedOn w:val="19"/>
    <w:link w:val="8"/>
    <w:semiHidden/>
    <w:uiPriority w:val="9"/>
    <w:rPr>
      <w:rFonts w:asciiTheme="minorHAnsi" w:hAnsiTheme="minorHAnsi" w:eastAsiaTheme="majorEastAsia" w:cstheme="majorBidi"/>
      <w:i/>
      <w:iCs/>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asciiTheme="minorHAnsi" w:hAnsiTheme="minorHAnsi" w:eastAsiaTheme="majorEastAsia" w:cstheme="majorBidi"/>
      <w:color w:val="595959" w:themeColor="text1" w:themeTint="A6"/>
      <w:sz w:val="24"/>
      <w:szCs w:val="24"/>
      <w:lang w:val="en-US" w:eastAsia="zh-CN" w:bidi="ar-SA"/>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asciiTheme="minorHAnsi" w:hAnsiTheme="minorHAnsi" w:eastAsiaTheme="majorEastAsia" w:cstheme="majorBidi"/>
      <w:i/>
      <w:iCs/>
      <w:color w:val="262626" w:themeColor="text1" w:themeTint="D9"/>
      <w:sz w:val="24"/>
      <w:szCs w:val="24"/>
      <w:lang w:val="en-US" w:eastAsia="zh-CN" w:bidi="ar-SA"/>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asciiTheme="minorHAnsi" w:hAnsiTheme="minorHAnsi" w:eastAsiaTheme="majorEastAsia" w:cstheme="majorBidi"/>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style>
  <w:style w:type="paragraph" w:customStyle="1" w:styleId="49">
    <w:name w:val="Source Code"/>
    <w:basedOn w:val="1"/>
    <w:link w:val="48"/>
    <w:qFormat/>
    <w:uiPriority w:val="0"/>
    <w:pPr>
      <w:shd w:val="clear" w:fill="F8F8F8"/>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E54A1" w:themeColor="accent1" w:themeShade="BF"/>
    </w:rPr>
  </w:style>
  <w:style w:type="character" w:customStyle="1" w:styleId="52">
    <w:name w:val="KeywordTok"/>
    <w:basedOn w:val="48"/>
    <w:uiPriority w:val="0"/>
    <w:rPr>
      <w:b/>
      <w:color w:val="204A87"/>
      <w:shd w:val="clear" w:fill="F8F8F8"/>
    </w:rPr>
  </w:style>
  <w:style w:type="character" w:customStyle="1" w:styleId="53">
    <w:name w:val="DataTypeTok"/>
    <w:basedOn w:val="48"/>
    <w:uiPriority w:val="0"/>
    <w:rPr>
      <w:color w:val="204A87"/>
      <w:shd w:val="clear" w:fill="F8F8F8"/>
    </w:rPr>
  </w:style>
  <w:style w:type="character" w:customStyle="1" w:styleId="54">
    <w:name w:val="DecValTok"/>
    <w:basedOn w:val="48"/>
    <w:qFormat/>
    <w:uiPriority w:val="0"/>
    <w:rPr>
      <w:color w:val="0000CF"/>
      <w:shd w:val="clear" w:fill="F8F8F8"/>
    </w:rPr>
  </w:style>
  <w:style w:type="character" w:customStyle="1" w:styleId="55">
    <w:name w:val="BaseNTok"/>
    <w:basedOn w:val="48"/>
    <w:uiPriority w:val="0"/>
    <w:rPr>
      <w:color w:val="0000CF"/>
      <w:shd w:val="clear" w:fill="F8F8F8"/>
    </w:rPr>
  </w:style>
  <w:style w:type="character" w:customStyle="1" w:styleId="56">
    <w:name w:val="FloatTok"/>
    <w:basedOn w:val="48"/>
    <w:qFormat/>
    <w:uiPriority w:val="0"/>
    <w:rPr>
      <w:color w:val="0000CF"/>
      <w:shd w:val="clear" w:fill="F8F8F8"/>
    </w:rPr>
  </w:style>
  <w:style w:type="character" w:customStyle="1" w:styleId="57">
    <w:name w:val="ConstantTok"/>
    <w:basedOn w:val="48"/>
    <w:uiPriority w:val="0"/>
    <w:rPr>
      <w:color w:val="8F5902"/>
      <w:shd w:val="clear" w:fill="F8F8F8"/>
    </w:rPr>
  </w:style>
  <w:style w:type="character" w:customStyle="1" w:styleId="58">
    <w:name w:val="CharTok"/>
    <w:basedOn w:val="48"/>
    <w:qFormat/>
    <w:uiPriority w:val="0"/>
    <w:rPr>
      <w:color w:val="4E9A06"/>
      <w:shd w:val="clear" w:fill="F8F8F8"/>
    </w:rPr>
  </w:style>
  <w:style w:type="character" w:customStyle="1" w:styleId="59">
    <w:name w:val="SpecialCharTok"/>
    <w:basedOn w:val="48"/>
    <w:qFormat/>
    <w:uiPriority w:val="0"/>
    <w:rPr>
      <w:b/>
      <w:color w:val="CE5C00"/>
      <w:shd w:val="clear" w:fill="F8F8F8"/>
    </w:rPr>
  </w:style>
  <w:style w:type="character" w:customStyle="1" w:styleId="60">
    <w:name w:val="StringTok"/>
    <w:basedOn w:val="48"/>
    <w:qFormat/>
    <w:uiPriority w:val="0"/>
    <w:rPr>
      <w:color w:val="4E9A06"/>
      <w:shd w:val="clear" w:fill="F8F8F8"/>
    </w:rPr>
  </w:style>
  <w:style w:type="character" w:customStyle="1" w:styleId="61">
    <w:name w:val="VerbatimStringTok"/>
    <w:basedOn w:val="48"/>
    <w:uiPriority w:val="0"/>
    <w:rPr>
      <w:color w:val="4E9A06"/>
      <w:shd w:val="clear" w:fill="F8F8F8"/>
    </w:rPr>
  </w:style>
  <w:style w:type="character" w:customStyle="1" w:styleId="62">
    <w:name w:val="SpecialStringTok"/>
    <w:basedOn w:val="48"/>
    <w:uiPriority w:val="0"/>
    <w:rPr>
      <w:color w:val="4E9A06"/>
      <w:shd w:val="clear" w:fill="F8F8F8"/>
    </w:rPr>
  </w:style>
  <w:style w:type="character" w:customStyle="1" w:styleId="63">
    <w:name w:val="ImportTok"/>
    <w:basedOn w:val="48"/>
    <w:qFormat/>
    <w:uiPriority w:val="0"/>
    <w:rPr>
      <w:shd w:val="clear" w:fill="F8F8F8"/>
    </w:rPr>
  </w:style>
  <w:style w:type="character" w:customStyle="1" w:styleId="64">
    <w:name w:val="CommentTok"/>
    <w:basedOn w:val="48"/>
    <w:qFormat/>
    <w:uiPriority w:val="0"/>
    <w:rPr>
      <w:i/>
      <w:color w:val="8F5902"/>
      <w:shd w:val="clear" w:fill="F8F8F8"/>
    </w:rPr>
  </w:style>
  <w:style w:type="character" w:customStyle="1" w:styleId="65">
    <w:name w:val="DocumentationTok"/>
    <w:basedOn w:val="48"/>
    <w:qFormat/>
    <w:uiPriority w:val="0"/>
    <w:rPr>
      <w:b/>
      <w:i/>
      <w:color w:val="8F5902"/>
      <w:shd w:val="clear" w:fill="F8F8F8"/>
    </w:rPr>
  </w:style>
  <w:style w:type="character" w:customStyle="1" w:styleId="66">
    <w:name w:val="AnnotationTok"/>
    <w:basedOn w:val="48"/>
    <w:qFormat/>
    <w:uiPriority w:val="0"/>
    <w:rPr>
      <w:b/>
      <w:i/>
      <w:color w:val="8F5902"/>
      <w:shd w:val="clear" w:fill="F8F8F8"/>
    </w:rPr>
  </w:style>
  <w:style w:type="character" w:customStyle="1" w:styleId="67">
    <w:name w:val="CommentVarTok"/>
    <w:basedOn w:val="48"/>
    <w:uiPriority w:val="0"/>
    <w:rPr>
      <w:b/>
      <w:i/>
      <w:color w:val="8F5902"/>
      <w:shd w:val="clear" w:fill="F8F8F8"/>
    </w:rPr>
  </w:style>
  <w:style w:type="character" w:customStyle="1" w:styleId="68">
    <w:name w:val="OtherTok"/>
    <w:basedOn w:val="48"/>
    <w:qFormat/>
    <w:uiPriority w:val="0"/>
    <w:rPr>
      <w:color w:val="8F5902"/>
      <w:shd w:val="clear" w:fill="F8F8F8"/>
    </w:rPr>
  </w:style>
  <w:style w:type="character" w:customStyle="1" w:styleId="69">
    <w:name w:val="FunctionTok"/>
    <w:basedOn w:val="48"/>
    <w:qFormat/>
    <w:uiPriority w:val="0"/>
    <w:rPr>
      <w:b/>
      <w:color w:val="204A87"/>
      <w:shd w:val="clear" w:fill="F8F8F8"/>
    </w:rPr>
  </w:style>
  <w:style w:type="character" w:customStyle="1" w:styleId="70">
    <w:name w:val="VariableTok"/>
    <w:basedOn w:val="48"/>
    <w:qFormat/>
    <w:uiPriority w:val="0"/>
    <w:rPr>
      <w:color w:val="000000"/>
      <w:shd w:val="clear" w:fill="F8F8F8"/>
    </w:rPr>
  </w:style>
  <w:style w:type="character" w:customStyle="1" w:styleId="71">
    <w:name w:val="ControlFlowTok"/>
    <w:basedOn w:val="48"/>
    <w:uiPriority w:val="0"/>
    <w:rPr>
      <w:b/>
      <w:color w:val="204A87"/>
      <w:shd w:val="clear" w:fill="F8F8F8"/>
    </w:rPr>
  </w:style>
  <w:style w:type="character" w:customStyle="1" w:styleId="72">
    <w:name w:val="OperatorTok"/>
    <w:basedOn w:val="48"/>
    <w:uiPriority w:val="0"/>
    <w:rPr>
      <w:b/>
      <w:color w:val="CE5C00"/>
      <w:shd w:val="clear" w:fill="F8F8F8"/>
    </w:rPr>
  </w:style>
  <w:style w:type="character" w:customStyle="1" w:styleId="73">
    <w:name w:val="BuiltInTok"/>
    <w:basedOn w:val="48"/>
    <w:uiPriority w:val="0"/>
    <w:rPr>
      <w:shd w:val="clear" w:fill="F8F8F8"/>
    </w:rPr>
  </w:style>
  <w:style w:type="character" w:customStyle="1" w:styleId="74">
    <w:name w:val="ExtensionTok"/>
    <w:basedOn w:val="48"/>
    <w:qFormat/>
    <w:uiPriority w:val="0"/>
    <w:rPr>
      <w:shd w:val="clear" w:fill="F8F8F8"/>
    </w:rPr>
  </w:style>
  <w:style w:type="character" w:customStyle="1" w:styleId="75">
    <w:name w:val="PreprocessorTok"/>
    <w:basedOn w:val="48"/>
    <w:qFormat/>
    <w:uiPriority w:val="0"/>
    <w:rPr>
      <w:i/>
      <w:color w:val="8F5902"/>
      <w:shd w:val="clear" w:fill="F8F8F8"/>
    </w:rPr>
  </w:style>
  <w:style w:type="character" w:customStyle="1" w:styleId="76">
    <w:name w:val="AttributeTok"/>
    <w:basedOn w:val="48"/>
    <w:qFormat/>
    <w:uiPriority w:val="0"/>
    <w:rPr>
      <w:color w:val="204A87"/>
      <w:shd w:val="clear" w:fill="F8F8F8"/>
    </w:rPr>
  </w:style>
  <w:style w:type="character" w:customStyle="1" w:styleId="77">
    <w:name w:val="RegionMarkerTok"/>
    <w:basedOn w:val="48"/>
    <w:uiPriority w:val="0"/>
    <w:rPr>
      <w:shd w:val="clear" w:fill="F8F8F8"/>
    </w:rPr>
  </w:style>
  <w:style w:type="character" w:customStyle="1" w:styleId="78">
    <w:name w:val="InformationTok"/>
    <w:basedOn w:val="48"/>
    <w:qFormat/>
    <w:uiPriority w:val="0"/>
    <w:rPr>
      <w:b/>
      <w:i/>
      <w:color w:val="8F5902"/>
      <w:shd w:val="clear" w:fill="F8F8F8"/>
    </w:rPr>
  </w:style>
  <w:style w:type="character" w:customStyle="1" w:styleId="79">
    <w:name w:val="WarningTok"/>
    <w:basedOn w:val="48"/>
    <w:qFormat/>
    <w:uiPriority w:val="0"/>
    <w:rPr>
      <w:b/>
      <w:i/>
      <w:color w:val="8F5902"/>
      <w:shd w:val="clear" w:fill="F8F8F8"/>
    </w:rPr>
  </w:style>
  <w:style w:type="character" w:customStyle="1" w:styleId="80">
    <w:name w:val="AlertTok"/>
    <w:basedOn w:val="48"/>
    <w:uiPriority w:val="0"/>
    <w:rPr>
      <w:color w:val="EF2929"/>
      <w:shd w:val="clear" w:fill="F8F8F8"/>
    </w:rPr>
  </w:style>
  <w:style w:type="character" w:customStyle="1" w:styleId="81">
    <w:name w:val="ErrorTok"/>
    <w:basedOn w:val="48"/>
    <w:uiPriority w:val="0"/>
    <w:rPr>
      <w:b/>
      <w:color w:val="A40000"/>
      <w:shd w:val="clear" w:fill="F8F8F8"/>
    </w:rPr>
  </w:style>
  <w:style w:type="character" w:customStyle="1" w:styleId="82">
    <w:name w:val="NormalTok"/>
    <w:basedOn w:val="48"/>
    <w:qFormat/>
    <w:uiPriority w:val="0"/>
    <w:rPr>
      <w:shd w:val="clear" w:fill="F8F8F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2026-04-23T16:57:00Z</dcterms:created>
  <dc:creator>amusing</dc:creator>
  <cp:lastModifiedBy>amusing</cp:lastModifiedBy>
  <dcterms:modified xsi:type="dcterms:W3CDTF">2026-04-23T17:11:10Z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64CF3940D6FB40608E965412E2DC5564_13</vt:lpwstr>
  </property>
  <property fmtid="{D5CDD505-2E9C-101B-9397-08002B2CF9AE}" pid="4" name="KSOTemplateDocerSaveRecord">
    <vt:lpwstr>eyJoZGlkIjoiMTNiM2EwZDcwMGE2ODNmNmRmYjEwNzcxY2I2MDkzZGEiLCJ1c2VySWQiOiIxMzY1MjQ1MzU4In0=</vt:lpwstr>
  </property>
</Properties>
</file>