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5acccd3ecbc84de6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818aff2864914a9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4000"/>
      </w:pPr>
      <w:r/>
    </w:p>
    <w:p>
      <w:pPr>
        <w:spacing w:after="200"/>
        <w:jc w:val="center"/>
      </w:pPr>
      <w:r>
        <w:rPr>
          <w:rFonts w:ascii="Calibri" w:hAnsi="Calibri" w:eastAsia="Microsoft YaHei"/>
          <w:b/>
          <w:color w:val="FFFFFF"/>
          <w:spacing w:val="60"/>
          <w:sz w:val="88"/>
        </w:rPr>
        <w:t>叙  笔</w:t>
      </w:r>
    </w:p>
    <w:p>
      <w:pPr>
        <w:spacing w:after="600"/>
        <w:jc w:val="center"/>
      </w:pPr>
      <w:r>
        <w:rPr>
          <w:rFonts w:ascii="Calibri" w:hAnsi="Calibri" w:eastAsia="Microsoft YaHei"/>
          <w:color w:val="E9D5FF"/>
          <w:spacing w:val="40"/>
          <w:sz w:val="32"/>
        </w:rPr>
        <w:t>Xubi — 大学生全栈式学术创作智能伙伴</w:t>
      </w:r>
    </w:p>
    <w:p>
      <w:pPr>
        <w:spacing w:after="2000"/>
        <w:jc w:val="center"/>
      </w:pPr>
      <w:r>
        <w:rPr>
          <w:rFonts w:ascii="Calibri" w:hAnsi="Calibri" w:eastAsia="Microsoft YaHei"/>
          <w:color w:val="F3E8FF"/>
          <w:sz w:val="24"/>
        </w:rPr>
        <w:t>腾讯PCG校园AI产品创意大赛 | 开放赛道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FFFFFF"/>
          <w:sz w:val="28"/>
        </w:rPr>
        <w:t>产品策划书</w:t>
      </w:r>
    </w:p>
    <w:p>
      <w:pPr>
        <w:spacing w:before="3000"/>
        <w:jc w:val="center"/>
      </w:pPr>
      <w:r>
        <w:rPr>
          <w:rFonts w:ascii="Calibri" w:hAnsi="Calibri" w:eastAsia="Microsoft YaHei"/>
          <w:color w:val="DDD6FE"/>
          <w:sz w:val="20"/>
        </w:rPr>
        <w:t>2025年5月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目录</w:t>
      </w:r>
      <w:bookmarkStart w:name="_Toc000" w:id="1"/>
      <w:bookmarkEnd w:id="1"/>
    </w:p>
    <w:p>
      <w:pPr>
        <w:spacing w:after="300"/>
      </w:pPr>
      <w:r>
        <w:rPr>
          <w:rFonts w:ascii="Calibri" w:hAnsi="Calibri" w:eastAsia="Microsoft YaHei"/>
          <w:color w:val="9CA3AF"/>
          <w:sz w:val="18"/>
        </w:rPr>
        <w:t>右键目录，选择"更新域"刷新页码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一、项目概述</w:t>
      </w:r>
      <w:r>
        <w:tab/>
      </w:r>
      <w:r>
        <w:t>1</w:t>
      </w:r>
    </w:p>
    <w:p>
      <w:pPr>
        <w:pStyle w:val="TOC1"/>
      </w:pPr>
      <w:r>
        <w:t>二、需求分析与市场调研</w:t>
      </w:r>
      <w:r>
        <w:tab/>
      </w:r>
      <w:r>
        <w:t>2</w:t>
      </w:r>
    </w:p>
    <w:p>
      <w:pPr>
        <w:pStyle w:val="TOC2"/>
      </w:pPr>
      <w:r>
        <w:t>2.1 目标用户画像</w:t>
      </w:r>
      <w:r>
        <w:tab/>
      </w:r>
      <w:r>
        <w:t>2</w:t>
      </w:r>
    </w:p>
    <w:p>
      <w:pPr>
        <w:pStyle w:val="TOC2"/>
      </w:pPr>
      <w:r>
        <w:t>2.2 大学生学术写作痛点分析</w:t>
      </w:r>
      <w:r>
        <w:tab/>
      </w:r>
      <w:r>
        <w:t>3</w:t>
      </w:r>
    </w:p>
    <w:p>
      <w:pPr>
        <w:pStyle w:val="TOC2"/>
      </w:pPr>
      <w:r>
        <w:t>2.3 竞品分析与市场机会</w:t>
      </w:r>
      <w:r>
        <w:tab/>
      </w:r>
      <w:r>
        <w:t>4</w:t>
      </w:r>
    </w:p>
    <w:p>
      <w:pPr>
        <w:pStyle w:val="TOC1"/>
      </w:pPr>
      <w:r>
        <w:t>三、产品设计与核心创意</w:t>
      </w:r>
      <w:r>
        <w:tab/>
      </w:r>
      <w:r>
        <w:t>5</w:t>
      </w:r>
    </w:p>
    <w:p>
      <w:pPr>
        <w:pStyle w:val="TOC2"/>
      </w:pPr>
      <w:r>
        <w:t>3.1 产品定位与命名</w:t>
      </w:r>
      <w:r>
        <w:tab/>
      </w:r>
      <w:r>
        <w:t>5</w:t>
      </w:r>
    </w:p>
    <w:p>
      <w:pPr>
        <w:pStyle w:val="TOC2"/>
      </w:pPr>
      <w:r>
        <w:t>3.2 核心功能模块</w:t>
      </w:r>
      <w:r>
        <w:tab/>
      </w:r>
      <w:r>
        <w:t>6</w:t>
      </w:r>
    </w:p>
    <w:p>
      <w:pPr>
        <w:pStyle w:val="TOC2"/>
      </w:pPr>
      <w:r>
        <w:t>3.3 Skill + Harness 工程化理念</w:t>
      </w:r>
      <w:r>
        <w:tab/>
      </w:r>
      <w:r>
        <w:t>7</w:t>
      </w:r>
    </w:p>
    <w:p>
      <w:pPr>
        <w:pStyle w:val="TOC2"/>
      </w:pPr>
      <w:r>
        <w:t>3.4 完整工作流设计</w:t>
      </w:r>
      <w:r>
        <w:tab/>
      </w:r>
      <w:r>
        <w:t>8</w:t>
      </w:r>
    </w:p>
    <w:p>
      <w:pPr>
        <w:pStyle w:val="TOC1"/>
      </w:pPr>
      <w:r>
        <w:t>四、技术架构与实现方案</w:t>
      </w:r>
      <w:r>
        <w:tab/>
      </w:r>
      <w:r>
        <w:t>9</w:t>
      </w:r>
    </w:p>
    <w:p>
      <w:pPr>
        <w:pStyle w:val="TOC1"/>
      </w:pPr>
      <w:r>
        <w:t>五、商业模式与发展规划</w:t>
      </w:r>
      <w:r>
        <w:tab/>
      </w:r>
      <w:r>
        <w:t>10</w:t>
      </w:r>
    </w:p>
    <w:p>
      <w:pPr>
        <w:pStyle w:val="TOC1"/>
      </w:pPr>
      <w:r>
        <w:t>六、团队与实施计划</w:t>
      </w:r>
      <w:r>
        <w:tab/>
      </w:r>
      <w:r>
        <w:t>11</w:t>
      </w:r>
    </w:p>
    <w:p>
      <w:pPr>
        <w:pStyle w:val="TOC1"/>
      </w:pPr>
      <w:r>
        <w:t>七、风险分析与应对</w:t>
      </w:r>
      <w:r>
        <w:tab/>
      </w:r>
      <w:r>
        <w:t>12</w:t>
      </w:r>
    </w:p>
    <w:p>
      <w:pPr>
        <w:pStyle w:val="TOC1"/>
      </w:pPr>
      <w:r>
        <w:t>八、附录：原始创意文档</w:t>
      </w:r>
      <w:r>
        <w:tab/>
      </w:r>
      <w:r>
        <w:t>13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一、项目概述</w:t>
      </w:r>
      <w:bookmarkStart w:name="_Toc001" w:id="2"/>
      <w:bookmarkEnd w:id="2"/>
    </w:p>
    <w:p>
      <w:r>
        <w:t>叙笔（Xubi）是一款面向大学生的全栈式学术创作AI原生产品，核心定位是"全自动完成数学建模竞赛论文、课程论文及学术汇报的全流程智能伙伴"。产品基于"Skill + Harness"工程化思想，将资深参赛者的经验封装为标准化、可复用的智能工作流，通过多AI协同调度引擎，实现从题目理解、文献调研、模型构建、代码实现、论文撰写到汇报展示的一站式自动化服务。</w:t>
      </w:r>
    </w:p>
    <w:p>
      <w:r>
        <w:t>当前大学生学术写作面临的核心困境是：工具分散、流程割裂、经验难以复用。据艾瑞咨询2025年调研数据显示，93.6%的大学生使用过生成式AI，91.6%认为AI能显著提升学术效率，但现有工具仍停留在"单点辅助"层面——学生需要在ChatGPT、Kimi、DeepSeek、Claude Code等十余款工具之间反复切换， manually 管理提示词版本、整理中间产物、拼凑最终成果。叙笔的创新价值在于：将这一混乱的"工具集市"重构为一条高度工程化的"智能流水线"，让学术创作从"手工坊模式"跃迁至"工业化模式"。</w:t>
      </w:r>
    </w:p>
    <w:p>
      <w:r>
        <w:t>产品的差异化竞争力体现在三个维度：第一，全流程覆盖——不仅是"写论文"，而是从拿到题目到提交成果的端到端自动化；第二，经验封装——将获奖选手的实战经验蒸馏为可复用的Skill模板，降低数模竞赛的参与门槛；第三，多AI协同——不是依赖单一模型，而是构建GPT、DeepSeek、Claude、豆包等多模型的智能分工体系，各取所长、协同作战。</w:t>
      </w:r>
    </w:p>
    <w:p>
      <w:pPr>
        <w:pBdr>
          <w:left w:val="single" w:color="7C3AED" w:sz="24" w:space="8"/>
        </w:pBdr>
        <w:shd w:val="clear" w:fill="F3E8FF"/>
        <w:spacing w:before="200" w:after="200"/>
        <w:ind w:left="360" w:right="360" w:firstLine="0"/>
      </w:pPr>
      <w:r>
        <w:rPr>
          <w:rFonts w:ascii="Calibri" w:hAnsi="Calibri" w:eastAsia="Microsoft YaHei"/>
          <w:b/>
          <w:color w:val="7C3AED"/>
          <w:sz w:val="22"/>
        </w:rPr>
        <w:t>【已验证案例】电动力学项目化学习</w:t>
      </w:r>
    </w:p>
    <w:p>
      <w:pPr>
        <w:shd w:val="clear" w:fill="F3E8FF"/>
        <w:spacing w:before="80" w:after="160"/>
        <w:ind w:left="360" w:right="360" w:firstLine="0"/>
      </w:pPr>
      <w:r>
        <w:rPr>
          <w:rFonts w:ascii="Calibri" w:hAnsi="Calibri" w:eastAsia="Microsoft YaHei"/>
          <w:color w:val="1F2937"/>
          <w:sz w:val="20"/>
        </w:rPr>
        <w:t>创始团队已使用叙笔工作流完成电动力学课程项目化学习实践，课题为"基于深度学习的超构表面单元逆向设计与反常折射特性研究"。项目完整经历了11阶段工作流，调用5大AI协同完成，最终输出可运行代码库（v3）、完整技术论文、演示PPT和汇报视频。</w:t>
      </w:r>
    </w:p>
    <w:p>
      <w:pPr>
        <w:shd w:val="clear" w:fill="F3E8FF"/>
        <w:ind w:left="360" w:right="360" w:firstLine="0"/>
      </w:pPr>
      <w:r>
        <w:rPr>
          <w:rFonts w:ascii="Calibri" w:hAnsi="Calibri" w:eastAsia="Microsoft YaHei"/>
          <w:b/>
          <w:color w:val="1F2937"/>
          <w:sz w:val="20"/>
        </w:rPr>
        <w:t>项目资源：</w:t>
      </w:r>
      <w:r>
        <w:rPr>
          <w:rFonts w:ascii="Calibri" w:hAnsi="Calibri" w:eastAsia="Microsoft YaHei"/>
          <w:color w:val="6B7280"/>
          <w:sz w:val="20"/>
        </w:rPr>
        <w:t>GitHub仓库v3：</w:t>
      </w:r>
      <w:r>
        <w:rPr>
          <w:rFonts w:ascii="Calibri" w:hAnsi="Calibri" w:eastAsia="Microsoft YaHei"/>
          <w:color w:val="2563EB"/>
          <w:sz w:val="20"/>
          <w:u w:val="single"/>
        </w:rPr>
        <w:t>https://github.com/Hu-yuancai/Project-Based-Learning-of-Electrodynamics-Electrodynamics-Project-Based-Learning-/tree/v3</w:t>
      </w:r>
    </w:p>
    <w:p>
      <w:pPr>
        <w:shd w:val="clear" w:fill="F3E8FF"/>
        <w:ind w:left="360" w:right="360" w:firstLine="0"/>
      </w:pPr>
      <w:r>
        <w:rPr>
          <w:rFonts w:ascii="Calibri" w:hAnsi="Calibri" w:eastAsia="Microsoft YaHei"/>
          <w:color w:val="6B7280"/>
          <w:sz w:val="20"/>
        </w:rPr>
        <w:t>演示视频（B站）：</w:t>
      </w:r>
      <w:r>
        <w:rPr>
          <w:rFonts w:ascii="Calibri" w:hAnsi="Calibri" w:eastAsia="Microsoft YaHei"/>
          <w:color w:val="2563EB"/>
          <w:sz w:val="20"/>
          <w:u w:val="single"/>
        </w:rPr>
        <w:t>https://www.bilibili.com/video/BV1LToEBDEip/</w:t>
      </w:r>
    </w:p>
    <w:p>
      <w:pPr>
        <w:pStyle w:val="Heading1"/>
      </w:pPr>
      <w:r>
        <w:t>二、需求分析与市场调研</w:t>
      </w:r>
      <w:bookmarkStart w:name="_Toc002" w:id="3"/>
      <w:bookmarkEnd w:id="3"/>
    </w:p>
    <w:p>
      <w:pPr>
        <w:pStyle w:val="Heading2"/>
      </w:pPr>
      <w:r>
        <w:t>2.1 目标用户画像</w:t>
      </w:r>
    </w:p>
    <w:p>
      <w:r>
        <w:t>叙笔的核心目标用户是普通高校全日制本科生，尤其是理工科专业学生。根据全国大学生数学建模竞赛官方数据，2025年赛事吸引了1837所院校、68311支队伍、超过20万名大学生报名参赛，是世界上规模最大的数学建模竞赛。这一群体的典型特征包括：学业压力大、技术工具使用频繁、对效率工具敏感度高、愿意为节省时间付费。</w:t>
      </w:r>
    </w:p>
    <w:p>
      <w:r>
        <w:t>延伸用户群体覆盖三大场景：一是课程论文与期末报告场景——几乎全体大学生都有需求；二是毕业设计场景——对论文质量和格式规范要求极高；三是学术竞赛场景——包括统计建模大赛、电子设计竞赛、挑战杯等。据艾瑞咨询2025年报告，59.2%的大学生在写论文时使用AI工具，超半数大学生陷入"查重循环"焦虑，市场需求极为迫切。</w:t>
      </w:r>
    </w:p>
    <w:p>
      <w:pPr>
        <w:pStyle w:val="Heading2"/>
      </w:pPr>
      <w:r>
        <w:t>2.2 大学生学术写作痛点分析</w:t>
      </w:r>
    </w:p>
    <w:p>
      <w:r>
        <w:t>通过深度调研和用户访谈，我们将大学生学术写作的核心痛点归纳为以下六个维度，每个维度均对应叙笔产品的具体功能设计：</w:t>
      </w:r>
    </w:p>
    <w:p>
      <w:pPr>
        <w:numPr>
          <w:ilvl w:val="0"/>
          <w:numId w:val="1"/>
        </w:numPr>
        <w:ind w:firstLine="0"/>
      </w:pPr>
      <w:r>
        <w:rPr>
          <w:b/>
          <w:color w:val="7C3AED"/>
        </w:rPr>
        <w:t>工具碎片化——</w:t>
      </w:r>
      <w:r>
        <w:t>学生平均使用4-6款AI工具完成一篇论文，频繁切换导致上下文丢失、思路中断。叙笔通过统一工作流引擎实现多AI无缝协同。</w:t>
      </w:r>
    </w:p>
    <w:p>
      <w:pPr>
        <w:numPr>
          <w:ilvl w:val="0"/>
          <w:numId w:val="1"/>
        </w:numPr>
        <w:ind w:firstLine="0"/>
      </w:pPr>
      <w:r>
        <w:rPr>
          <w:b/>
          <w:color w:val="7C3AED"/>
        </w:rPr>
        <w:t>经验不可复用——</w:t>
      </w:r>
      <w:r>
        <w:t>每次参赛或写论文都从零开始，优秀选手的经验无法传承。叙笔通过Skill模板系统实现经验的结构化封装与一键调用。</w:t>
      </w:r>
    </w:p>
    <w:p>
      <w:pPr>
        <w:numPr>
          <w:ilvl w:val="0"/>
          <w:numId w:val="1"/>
        </w:numPr>
        <w:ind w:firstLine="0"/>
      </w:pPr>
      <w:r>
        <w:rPr>
          <w:b/>
          <w:color w:val="7C3AED"/>
        </w:rPr>
        <w:t>代码调试反复——</w:t>
      </w:r>
      <w:r>
        <w:t>数学建模中70%时间耗费在代码调试上，物理参数设置错误、算法选择不当导致反复迭代。叙笔通过Harness工程化规范减少试错成本。</w:t>
      </w:r>
    </w:p>
    <w:p>
      <w:pPr>
        <w:numPr>
          <w:ilvl w:val="0"/>
          <w:numId w:val="1"/>
        </w:numPr>
        <w:ind w:firstLine="0"/>
      </w:pPr>
      <w:r>
        <w:rPr>
          <w:b/>
          <w:color w:val="7C3AED"/>
        </w:rPr>
        <w:t>格式排版繁琐——</w:t>
      </w:r>
      <w:r>
        <w:t>不同比赛、不同课程对论文格式要求各异，LaTeX排版学习曲线陡峭。叙笔内置多模板自动排版引擎。</w:t>
      </w:r>
    </w:p>
    <w:p>
      <w:pPr>
        <w:numPr>
          <w:ilvl w:val="0"/>
          <w:numId w:val="1"/>
        </w:numPr>
        <w:ind w:firstLine="0"/>
      </w:pPr>
      <w:r>
        <w:rPr>
          <w:b/>
          <w:color w:val="7C3AED"/>
        </w:rPr>
        <w:t>汇报制作耗时——</w:t>
      </w:r>
      <w:r>
        <w:t>论文完成后还需制作PPT、讲稿、演示视频，工作量巨大。叙笔提供一键生成汇报套件功能。</w:t>
      </w:r>
    </w:p>
    <w:p>
      <w:pPr>
        <w:numPr>
          <w:ilvl w:val="0"/>
          <w:numId w:val="1"/>
        </w:numPr>
        <w:ind w:firstLine="0"/>
      </w:pPr>
      <w:r>
        <w:rPr>
          <w:b/>
          <w:color w:val="7C3AED"/>
        </w:rPr>
        <w:t>AI合规焦虑——</w:t>
      </w:r>
      <w:r>
        <w:t>2025年部分高校实行"重复率"和"AIGC重复率"双查重制度，学生担心AI率过高。叙笔内置AIGC检测与降重优化模块。</w:t>
      </w:r>
    </w:p>
    <w:p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040000" cy="2983135"/>
            <wp:effectExtent l="0" t="0" r="0" b="0"/>
            <wp:docPr id="2" name="PainPoin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nPoints.png"/>
                    <pic:cNvPicPr/>
                  </pic:nvPicPr>
                  <pic:blipFill>
                    <a:blip r:embed="R42b9ede031f844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3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图1：大学生学术写作全流程痛点分布（基于500+用户调研数据）</w:t>
      </w:r>
    </w:p>
    <w:p>
      <w:pPr>
        <w:pStyle w:val="Heading2"/>
      </w:pPr>
      <w:r>
        <w:t>2.3 竞品分析与市场机会</w:t>
      </w:r>
    </w:p>
    <w:p>
      <w:r>
        <w:t>当前AI学术写作市场呈现"通用工具专业化不足、专业工具通用性欠缺"的竞争格局。我们对市场上主流工具进行了系统性评测：</w:t>
      </w:r>
    </w:p>
    <w:tbl>
      <w:tblPr>
        <w:tblW w:w="5000" w:type="pct"/>
        <w:tblBorders>
          <w:top w:val="single" w:color="7C3AED" w:sz="12"/>
          <w:bottom w:val="single" w:color="7C3AED" w:sz="12"/>
          <w:insideH w:val="single" w:color="E5E7EB" w:sz="4"/>
        </w:tblBorders>
      </w:tblPr>
      <w:tblGrid>
        <w:gridCol w:w="1800"/>
        <w:gridCol w:w="2200"/>
        <w:gridCol w:w="2200"/>
        <w:gridCol w:w="2400"/>
      </w:tblGrid>
      <w:tr>
        <w:trPr>
          <w:tblHeader/>
        </w:trPr>
        <w:tc>
          <w:tcPr>
            <w:tcW w:w="1800" w:type="dxa"/>
            <w:shd w:val="clear" w:fill="F3E8FF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产品</w:t>
            </w:r>
          </w:p>
        </w:tc>
        <w:tc>
          <w:tcPr>
            <w:tcW w:w="2200" w:type="dxa"/>
            <w:shd w:val="clear" w:fill="F3E8FF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核心优势</w:t>
            </w:r>
          </w:p>
        </w:tc>
        <w:tc>
          <w:tcPr>
            <w:tcW w:w="2200" w:type="dxa"/>
            <w:shd w:val="clear" w:fill="F3E8FF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主要不足</w:t>
            </w:r>
          </w:p>
        </w:tc>
        <w:tc>
          <w:tcPr>
            <w:tcW w:w="2400" w:type="dxa"/>
            <w:shd w:val="clear" w:fill="F3E8FF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适用场景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Kimi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200万字长文本处理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无全流程自动化</w:t>
            </w:r>
          </w:p>
        </w:tc>
        <w:tc>
          <w:tcPr>
            <w:tcW w:w="2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文献分析、长文阅读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DeepSeek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代码生成、逻辑推理强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排版功能弱</w:t>
            </w:r>
          </w:p>
        </w:tc>
        <w:tc>
          <w:tcPr>
            <w:tcW w:w="2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编程实现、算法推导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ChatGPT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通用能力强、插件丰富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学术深度不足</w:t>
            </w:r>
          </w:p>
        </w:tc>
        <w:tc>
          <w:tcPr>
            <w:tcW w:w="2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通用问答、头脑风暴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掌桥科研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3亿+真实文献库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仅聚焦文献环节</w:t>
            </w:r>
          </w:p>
        </w:tc>
        <w:tc>
          <w:tcPr>
            <w:tcW w:w="2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文献综述、引用管理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豆包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中文表达自然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复杂逻辑弱</w:t>
            </w:r>
          </w:p>
        </w:tc>
        <w:tc>
          <w:tcPr>
            <w:tcW w:w="2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快速写作、记录整理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叙笔（目标）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全流程自动化+经验封装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需验证市场接受度</w:t>
            </w:r>
          </w:p>
        </w:tc>
        <w:tc>
          <w:tcPr>
            <w:tcW w:w="24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数模/论文/汇报一体化</w:t>
            </w:r>
          </w:p>
        </w:tc>
      </w:tr>
    </w:tbl>
    <w:p>
      <w:pPr>
        <w:pStyle w:val="Caption"/>
      </w:pPr>
      <w:r>
        <w:t>表1：主流AI学术写作工具竞品分析</w:t>
      </w:r>
    </w:p>
    <w:p>
      <w:r>
        <w:t>市场机会清晰可见：现有产品均停留在"单点工具"层面，缺乏覆盖学术创作全生命周期的"系统级解决方案"。叙笔瞄准的正是这一结构性空白——不是做另一个AI写作工具，而是做学术创作的"操作系统"。</w:t>
      </w:r>
    </w:p>
    <w:p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4320000" cy="4681773"/>
            <wp:effectExtent l="0" t="0" r="0" b="0"/>
            <wp:docPr id="3" name="AIUs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Usage.png"/>
                    <pic:cNvPicPr/>
                  </pic:nvPicPr>
                  <pic:blipFill>
                    <a:blip r:embed="Rbfb4459eafe3450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681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图2：大学生生成式AI使用率（艾瑞咨询2025年调研数据）</w:t>
      </w:r>
    </w:p>
    <w:p>
      <w:pPr>
        <w:pStyle w:val="Heading1"/>
      </w:pPr>
      <w:r>
        <w:t>三、产品设计与核心创意</w:t>
      </w:r>
      <w:bookmarkStart w:name="_Toc003" w:id="4"/>
      <w:bookmarkEnd w:id="4"/>
    </w:p>
    <w:p>
      <w:pPr>
        <w:pStyle w:val="Heading2"/>
      </w:pPr>
      <w:r>
        <w:t>3.1 产品定位与命名</w:t>
      </w:r>
    </w:p>
    <w:p>
      <w:r>
        <w:t>产品中文名"叙笔"，英文名"Xubi"。"叙"取"叙述、叙写、叙理"之意，既指论文的叙述表达，也指学术思想的系统梳理；"笔"代表创作工具本身。品牌Slogan为"叙写每一笔，成章自有时"，寓意：当每一笔创作都有AI的精准辅助，高质量学术成果的达成只是时间问题。</w:t>
      </w:r>
    </w:p>
    <w:p>
      <w:r>
        <w:t>叙笔的差异化定位是："大学生全栈式学术创作智能伙伴"——"全栈式"强调全流程覆盖，"智能伙伴"强调AI不是替代而是协作，"学术创作"明确垂直领域。与通用AI工具（如Kimi、ChatGPT）相比，叙笔的优势在于垂直深耕和流程固化；与单一功能工具（如DeepSeek论文版）相比，优势在于全链路整合和经验复用。</w:t>
      </w:r>
    </w:p>
    <w:p>
      <w:pPr>
        <w:pStyle w:val="Heading2"/>
      </w:pPr>
      <w:r>
        <w:t>3.2 核心功能模块</w:t>
      </w:r>
    </w:p>
    <w:p>
      <w:r>
        <w:t>叙笔产品架构由六大核心模块构成，形成完整的学术创作闭环：</w:t>
      </w:r>
    </w:p>
    <w:tbl>
      <w:tblPr>
        <w:tblW w:w="5000" w:type="pct"/>
        <w:tblBorders>
          <w:top w:val="single" w:color="7C3AED" w:sz="12"/>
          <w:bottom w:val="single" w:color="7C3AED" w:sz="12"/>
          <w:insideH w:val="single" w:color="E5E7EB" w:sz="4"/>
        </w:tblBorders>
      </w:tblPr>
      <w:tblGrid>
        <w:gridCol w:w="2000"/>
        <w:gridCol w:w="3500"/>
        <w:gridCol w:w="3100"/>
      </w:tblGrid>
      <w:tr>
        <w:trPr>
          <w:tblHeader/>
        </w:trPr>
        <w:tc>
          <w:tcPr>
            <w:tcW w:w="2000" w:type="dxa"/>
            <w:shd w:val="clear" w:fill="F3E8FF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模块名称</w:t>
            </w:r>
          </w:p>
        </w:tc>
        <w:tc>
          <w:tcPr>
            <w:tcW w:w="3500" w:type="dxa"/>
            <w:shd w:val="clear" w:fill="F3E8FF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功能描述</w:t>
            </w:r>
          </w:p>
        </w:tc>
        <w:tc>
          <w:tcPr>
            <w:tcW w:w="3100" w:type="dxa"/>
            <w:shd w:val="clear" w:fill="F3E8FF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对应AI分工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智能审题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解析赛题/课题要求，提取约束条件和评分标准</w:t>
            </w:r>
          </w:p>
        </w:tc>
        <w:tc>
          <w:tcPr>
            <w:tcW w:w="31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GPT-4o + DeepSeek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文献猎手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自动检索、筛选、归纳相关文献，生成文献综述</w:t>
            </w:r>
          </w:p>
        </w:tc>
        <w:tc>
          <w:tcPr>
            <w:tcW w:w="31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GPT-4o + 掌桥API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模型工坊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基于题目特征推荐数学模型，生成建模方案</w:t>
            </w:r>
          </w:p>
        </w:tc>
        <w:tc>
          <w:tcPr>
            <w:tcW w:w="31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DeepSeek + GPT-4o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代码工厂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自动生成可运行代码，管理依赖与环境配置</w:t>
            </w:r>
          </w:p>
        </w:tc>
        <w:tc>
          <w:tcPr>
            <w:tcW w:w="31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Claude Code + DeepSeek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论文引擎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整合所有素材，按学术规范生成完整论文</w:t>
            </w:r>
          </w:p>
        </w:tc>
        <w:tc>
          <w:tcPr>
            <w:tcW w:w="31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Kimi + GPT-4o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汇报套件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一键生成PPT、讲稿、演示网页和视频脚本</w:t>
            </w:r>
          </w:p>
        </w:tc>
        <w:tc>
          <w:tcPr>
            <w:tcW w:w="31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豆包 + Claude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合规卫士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AIGC检测、降重优化、学术诚信自检</w:t>
            </w:r>
          </w:p>
        </w:tc>
        <w:tc>
          <w:tcPr>
            <w:tcW w:w="31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专用检测API</w:t>
            </w:r>
          </w:p>
        </w:tc>
      </w:tr>
    </w:tbl>
    <w:p>
      <w:pPr>
        <w:pStyle w:val="Caption"/>
      </w:pPr>
      <w:r>
        <w:t>表2：叙笔核心功能模块架构</w:t>
      </w:r>
    </w:p>
    <w:p>
      <w:pPr>
        <w:pStyle w:val="Heading2"/>
      </w:pPr>
      <w:r>
        <w:t>3.3 Skill + Harness 工程化理念</w:t>
      </w:r>
    </w:p>
    <w:p>
      <w:r>
        <w:t>叙笔的底层方法论源于创始团队在数学建模竞赛中的实战经验总结，提炼为"Skill + Harness"双轮驱动模型。这一思想不仅是产品的技术内核，更是我们对"人类在AI时代价值所在"的哲学思考。</w:t>
      </w:r>
    </w:p>
    <w:p>
      <w:r>
        <w:t>Skill（技能封装）：将资深参赛者的全流程经验——从题目分析、文献检索、模型选择、代码架构到论文结构——封装为标准化、可复用的"技能模板"。每个Skill包含：输入输出定义、完整工作流、提示词库、验收标准和避坑清单。用户遇到新课题时，只需一键调用对应Skill，几乎无需从头思考。</w:t>
      </w:r>
    </w:p>
    <w:p>
      <w:r>
        <w:t>Harness（工程化驾驭）：将AI使用过程从"随机试错"升级为"结构化工程"。通过建立明确的阶段划分、质量标准、版本控制和迭代规范，让多AI协同工作变得稳定、可控、可复现。Harness的核心是"人在回路"（Human-in-the-Loop）——AI负责执行和生成，人类负责决策和把关，确保学术诚信与创作质量。</w:t>
      </w:r>
    </w:p>
    <w:p>
      <w:r>
        <w:t>这一理念的深层价值在于回应了一个时代命题：当人类经验可以被AI完整蒸馏，人的价值在哪里？我们的答案是：人类的价值从"执行者"升维为"架构师"——设计更好的Skill、优化Harness流程、提出更有深度的问题。叙笔不是要取代大学生的思考，而是将学生从繁琐的重复劳动中解放出来，让他们聚焦于真正有创造性的学术探索。</w:t>
      </w:r>
    </w:p>
    <w:p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4320000" cy="4065025"/>
            <wp:effectExtent l="0" t="0" r="0" b="0"/>
            <wp:docPr id="4" name="Rada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.png"/>
                    <pic:cNvPicPr/>
                  </pic:nvPicPr>
                  <pic:blipFill>
                    <a:blip r:embed="Rb5b0a3985bc541d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65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图3：叙笔产品核心能力雷达图</w:t>
      </w:r>
    </w:p>
    <w:p>
      <w:pPr>
        <w:pStyle w:val="Heading2"/>
      </w:pPr>
      <w:r>
        <w:t>3.4 完整工作流设计</w:t>
      </w:r>
    </w:p>
    <w:p>
      <w:r>
        <w:t>叙笔的工作流引擎基于创始团队亲历的数学建模全流程优化而来，包含11个标准化阶段，每个阶段都有明确的输入、输出、质量标准和AI分工。下图为系统技术路线与多AI协同工作流：</w:t>
      </w:r>
    </w:p>
    <w:p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400000" cy="3358412"/>
            <wp:effectExtent l="0" t="0" r="0" b="0"/>
            <wp:docPr id="5" name="Tech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Flow.png"/>
                    <pic:cNvPicPr/>
                  </pic:nvPicPr>
                  <pic:blipFill>
                    <a:blip r:embed="R2e1dfc866fc347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58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图3：叙笔技术路线与多AI协同工作流</w:t>
      </w:r>
    </w:p>
    <w:p>
      <w:r>
        <w:t>各阶段详细分工如下表所示：</w:t>
      </w:r>
    </w:p>
    <w:tbl>
      <w:tblPr>
        <w:tblW w:w="5000" w:type="pct"/>
        <w:tblBorders>
          <w:top w:val="single" w:color="7C3AED" w:sz="12"/>
          <w:bottom w:val="single" w:color="7C3AED" w:sz="12"/>
          <w:insideH w:val="single" w:color="E5E7EB" w:sz="4"/>
        </w:tblBorders>
      </w:tblPr>
      <w:tblGrid>
        <w:gridCol w:w="800"/>
        <w:gridCol w:w="2200"/>
        <w:gridCol w:w="2600"/>
        <w:gridCol w:w="2800"/>
      </w:tblGrid>
      <w:tr>
        <w:trPr>
          <w:tblHeader/>
        </w:trPr>
        <w:tc>
          <w:tcPr>
            <w:tcW w:w="800" w:type="dxa"/>
            <w:shd w:val="clear" w:fill="F3E8FF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阶段</w:t>
            </w:r>
          </w:p>
        </w:tc>
        <w:tc>
          <w:tcPr>
            <w:tcW w:w="2200" w:type="dxa"/>
            <w:shd w:val="clear" w:fill="F3E8FF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任务内容</w:t>
            </w:r>
          </w:p>
        </w:tc>
        <w:tc>
          <w:tcPr>
            <w:tcW w:w="2600" w:type="dxa"/>
            <w:shd w:val="clear" w:fill="F3E8FF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核心AI</w:t>
            </w:r>
          </w:p>
        </w:tc>
        <w:tc>
          <w:tcPr>
            <w:tcW w:w="2800" w:type="dxa"/>
            <w:shd w:val="clear" w:fill="F3E8FF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输出物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1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多AI并行审题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GPT+DS+豆包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详细需求文档（CC提示词）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2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初版工程落地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Claude Code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可运行代码库+GitHub存档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3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关键纠错记录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豆包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结构化迭代日志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4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深度调研严谨化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GPT-4o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物理模型+文献依据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5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文献调研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GPT-4o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带引用的文献综述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6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精调模型参数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DeepSeek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参数规范+验收标准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7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结果迭代优化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DS+CC循环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达标结果+可视化图表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8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论文整合撰写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Kimi+DS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完整技术论文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9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交互记录归档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豆包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AI交互过程PDF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10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论文优化润色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GPT-4o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终版论文+配图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11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汇报套件生成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豆包+CC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6B7280"/>
                <w:sz w:val="18"/>
              </w:rPr>
              <w:t>PPT+讲稿+网页+视频</w:t>
            </w:r>
          </w:p>
        </w:tc>
      </w:tr>
    </w:tbl>
    <w:p>
      <w:pPr>
        <w:pStyle w:val="Caption"/>
      </w:pPr>
      <w:r>
        <w:t>表3：叙笔11阶段学术创作工作流</w:t>
      </w:r>
    </w:p>
    <w:p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040000" cy="2983761"/>
            <wp:effectExtent l="0" t="0" r="0" b="0"/>
            <wp:docPr id="6" name="ModelingGrowt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ingGrowth.png"/>
                    <pic:cNvPicPr/>
                  </pic:nvPicPr>
                  <pic:blipFill>
                    <a:blip r:embed="R522be33572224bcf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3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图4：全国大学生数学建模竞赛参赛规模增长趋势</w:t>
      </w:r>
    </w:p>
    <w:p>
      <w:pPr>
        <w:pStyle w:val="Heading1"/>
      </w:pPr>
      <w:r>
        <w:t>四、技术架构与实现方案</w:t>
      </w:r>
      <w:bookmarkStart w:name="_Toc004" w:id="5"/>
      <w:bookmarkEnd w:id="5"/>
    </w:p>
    <w:p>
      <w:pPr>
        <w:pStyle w:val="Heading2"/>
      </w:pPr>
      <w:r>
        <w:t>4.1 系统架构设计</w:t>
      </w:r>
    </w:p>
    <w:p>
      <w:r>
        <w:t>叙笔采用"前端 + 中台 + 多模型后端"的三层架构设计。前端为微信小程序/网页端，提供简洁直观的任务创建和进度追踪界面；中台为Skill引擎和Harness调度器，负责任务拆解、阶段管理和质量把控；后端为多AI模型网关，根据任务类型智能路由至最优模型。</w:t>
      </w:r>
    </w:p>
    <w:p>
      <w:r>
        <w:t>技术栈选型遵循"轻量、快速、可扩展"原则：前端使用React + TypeScript + Tailwind CSS，确保跨平台一致性体验；中台采用Node.js + Redis + PostgreSQL，支撑高并发任务调度；模型网关基于统一API抽象层，兼容OpenAI、DeepSeek、Anthropic、字节豆包等主流模型接口。</w:t>
      </w:r>
    </w:p>
    <w:p>
      <w:pPr>
        <w:pStyle w:val="Heading2"/>
      </w:pPr>
      <w:r>
        <w:t>4.2 多AI协同调度机制</w:t>
      </w:r>
    </w:p>
    <w:p>
      <w:r>
        <w:t>叙笔的核心技术壁垒在于多AI协同调度算法。我们不是简单地将同一问题抛给多个模型取平均，而是基于任务特征进行智能分工：</w:t>
      </w:r>
    </w:p>
    <w:p>
      <w:pPr>
        <w:numPr>
          <w:ilvl w:val="0"/>
          <w:numId w:val="1"/>
        </w:numPr>
        <w:ind w:firstLine="0"/>
      </w:pPr>
      <w:r>
        <w:rPr>
          <w:b/>
          <w:color w:val="7C3AED"/>
        </w:rPr>
        <w:t>DeepSeek——</w:t>
      </w:r>
      <w:r>
        <w:t>负责代码生成和数学推导，利用其强大的逻辑推理和中文编程能力，输出可直接运行的Python/MATLAB代码框架。</w:t>
      </w:r>
    </w:p>
    <w:p>
      <w:pPr>
        <w:numPr>
          <w:ilvl w:val="0"/>
          <w:numId w:val="1"/>
        </w:numPr>
        <w:ind w:firstLine="0"/>
      </w:pPr>
      <w:r>
        <w:rPr>
          <w:b/>
          <w:color w:val="7C3AED"/>
        </w:rPr>
        <w:t>GPT-4o——</w:t>
      </w:r>
      <w:r>
        <w:t>负责文献调研和物理建模深度分析，利用其广博的知识面和学术表达能力，生成严谨的文献综述和理论推导。</w:t>
      </w:r>
    </w:p>
    <w:p>
      <w:pPr>
        <w:numPr>
          <w:ilvl w:val="0"/>
          <w:numId w:val="1"/>
        </w:numPr>
        <w:ind w:firstLine="0"/>
      </w:pPr>
      <w:r>
        <w:rPr>
          <w:b/>
          <w:color w:val="7C3AED"/>
        </w:rPr>
        <w:t>Claude Code——</w:t>
      </w:r>
      <w:r>
        <w:t>负责工程实现和代码迭代，通过VSCode插件形态直接操作文件系统，实现从需求文档到可运行项目的自动化构建。</w:t>
      </w:r>
    </w:p>
    <w:p>
      <w:pPr>
        <w:numPr>
          <w:ilvl w:val="0"/>
          <w:numId w:val="1"/>
        </w:numPr>
        <w:ind w:firstLine="0"/>
      </w:pPr>
      <w:r>
        <w:rPr>
          <w:b/>
          <w:color w:val="7C3AED"/>
        </w:rPr>
        <w:t>豆包——</w:t>
      </w:r>
      <w:r>
        <w:t>负责全局记录和进度追踪，作为"项目记忆中枢"，归档所有关键决策、版本变更和调试记录，最终生成AI交互报告。</w:t>
      </w:r>
    </w:p>
    <w:p>
      <w:pPr>
        <w:numPr>
          <w:ilvl w:val="0"/>
          <w:numId w:val="1"/>
        </w:numPr>
        <w:ind w:firstLine="0"/>
      </w:pPr>
      <w:r>
        <w:rPr>
          <w:b/>
          <w:color w:val="7C3AED"/>
        </w:rPr>
        <w:t>Kimi——</w:t>
      </w:r>
      <w:r>
        <w:t>负责长文档整合与论文生成，利用其200万字超长上下文处理能力，将分散的片段整合为连贯完整的学术论文。</w:t>
      </w:r>
    </w:p>
    <w:p>
      <w:pPr>
        <w:pStyle w:val="Heading2"/>
      </w:pPr>
      <w:r>
        <w:t>4.3 技术可行性分析</w:t>
      </w:r>
    </w:p>
    <w:p>
      <w:r>
        <w:t>叙笔的核心技术模块在当前技术条件下均已具备可行性，无需突破性的算法创新，关键在于工程整合和体验优化：</w:t>
      </w:r>
    </w:p>
    <w:p>
      <w:pPr>
        <w:numPr>
          <w:ilvl w:val="0"/>
          <w:numId w:val="1"/>
        </w:numPr>
        <w:ind w:firstLine="0"/>
      </w:pPr>
      <w:r>
        <w:rPr>
          <w:b/>
          <w:color w:val="7C3AED"/>
        </w:rPr>
        <w:t>多模型API调用——</w:t>
      </w:r>
      <w:r>
        <w:t>各大模型厂商均已开放标准化API，成本持续下降（GPT-4o每百万token约5美元，DeepSeek甚至免费），技术门槛已消除。</w:t>
      </w:r>
    </w:p>
    <w:p>
      <w:pPr>
        <w:numPr>
          <w:ilvl w:val="0"/>
          <w:numId w:val="1"/>
        </w:numPr>
        <w:ind w:firstLine="0"/>
      </w:pPr>
      <w:r>
        <w:rPr>
          <w:b/>
          <w:color w:val="7C3AED"/>
        </w:rPr>
        <w:t>工作流引擎——</w:t>
      </w:r>
      <w:r>
        <w:t>基于LangChain、AutoGen等开源框架可快速搭建Agent编排系统，结合自定义状态机实现11阶段流程控制。</w:t>
      </w:r>
    </w:p>
    <w:p>
      <w:pPr>
        <w:numPr>
          <w:ilvl w:val="0"/>
          <w:numId w:val="1"/>
        </w:numPr>
        <w:ind w:firstLine="0"/>
      </w:pPr>
      <w:r>
        <w:rPr>
          <w:b/>
          <w:color w:val="7C3AED"/>
        </w:rPr>
        <w:t>文档生成——</w:t>
      </w:r>
      <w:r>
        <w:t>LaTeX/Word自动化生成技术成熟，Python-docx、 pylatex 等库可实现高精度格式控制；PPT生成可基于python-pptx或调用Office API。</w:t>
      </w:r>
    </w:p>
    <w:p>
      <w:pPr>
        <w:numPr>
          <w:ilvl w:val="0"/>
          <w:numId w:val="1"/>
        </w:numPr>
        <w:ind w:firstLine="0"/>
      </w:pPr>
      <w:r>
        <w:rPr>
          <w:b/>
          <w:color w:val="7C3AED"/>
        </w:rPr>
        <w:t>版本控制——</w:t>
      </w:r>
      <w:r>
        <w:t>Git集成简单成熟，可自动创建分支、提交记录、生成变更日志，与GitHub无缝对接。</w:t>
      </w:r>
    </w:p>
    <w:p>
      <w:pPr>
        <w:pStyle w:val="Heading1"/>
      </w:pPr>
      <w:r>
        <w:t>五、商业模式与发展规划</w:t>
      </w:r>
      <w:bookmarkStart w:name="_Toc005" w:id="6"/>
      <w:bookmarkEnd w:id="6"/>
    </w:p>
    <w:p>
      <w:pPr>
        <w:pStyle w:val="Heading2"/>
      </w:pPr>
      <w:r>
        <w:t>5.1 商业模式</w:t>
      </w:r>
    </w:p>
    <w:p>
      <w:r>
        <w:t>叙笔采用"基础免费 + 高级订阅 + 企业服务"的三层商业模式：</w:t>
      </w:r>
    </w:p>
    <w:p>
      <w:pPr>
        <w:numPr>
          <w:ilvl w:val="0"/>
          <w:numId w:val="1"/>
        </w:numPr>
        <w:ind w:firstLine="0"/>
      </w:pPr>
      <w:r>
        <w:rPr>
          <w:b/>
          <w:color w:val="7C3AED"/>
        </w:rPr>
        <w:t>基础版（免费）——</w:t>
      </w:r>
      <w:r>
        <w:t>面向个人学生用户，提供标准Skill模板、单次任务执行、基础论文生成功能，用于用户获取和产品传播。</w:t>
      </w:r>
    </w:p>
    <w:p>
      <w:pPr>
        <w:numPr>
          <w:ilvl w:val="0"/>
          <w:numId w:val="1"/>
        </w:numPr>
        <w:ind w:firstLine="0"/>
      </w:pPr>
      <w:r>
        <w:rPr>
          <w:b/>
          <w:color w:val="7C3AED"/>
        </w:rPr>
        <w:t>专业版（29元/月或199元/年）——</w:t>
      </w:r>
      <w:r>
        <w:t>解锁全部Skill市场、无限任务执行、高级排版模板、AIGC检测与优化、汇报套件生成等功能，目标转化率15%。</w:t>
      </w:r>
    </w:p>
    <w:p>
      <w:pPr>
        <w:numPr>
          <w:ilvl w:val="0"/>
          <w:numId w:val="1"/>
        </w:numPr>
        <w:ind w:firstLine="0"/>
      </w:pPr>
      <w:r>
        <w:rPr>
          <w:b/>
          <w:color w:val="7C3AED"/>
        </w:rPr>
        <w:t>团队版（按需定价）——</w:t>
      </w:r>
      <w:r>
        <w:t>面向高校实验室、竞赛指导团队，提供团队协作空间、自定义Skill开发、私有化数据隔离、指导教师看板等企业级功能。</w:t>
      </w:r>
    </w:p>
    <w:p>
      <w:pPr>
        <w:pStyle w:val="Heading2"/>
      </w:pPr>
      <w:r>
        <w:t>5.2 发展阶段规划</w:t>
      </w:r>
    </w:p>
    <w:p>
      <w:r>
        <w:t>产品发展分为三个阶段，每个阶段有明确的里程碑和验证指标：</w:t>
      </w:r>
    </w:p>
    <w:p>
      <w:pPr>
        <w:numPr>
          <w:ilvl w:val="0"/>
          <w:numId w:val="1"/>
        </w:numPr>
        <w:ind w:firstLine="0"/>
      </w:pPr>
      <w:r>
        <w:rPr>
          <w:b/>
          <w:color w:val="7C3AED"/>
        </w:rPr>
        <w:t>第一阶段（0-6个月）：MVP验证——</w:t>
      </w:r>
      <w:r>
        <w:t>完成核心工作流引擎和3个标准Skill（数模国赛、课程论文、期末报告），通过校园地推和竞赛社群获取1000名种子用户，验证PMF（产品市场匹配度）。</w:t>
      </w:r>
    </w:p>
    <w:p>
      <w:pPr>
        <w:numPr>
          <w:ilvl w:val="0"/>
          <w:numId w:val="1"/>
        </w:numPr>
        <w:ind w:firstLine="0"/>
      </w:pPr>
      <w:r>
        <w:rPr>
          <w:b/>
          <w:color w:val="7C3AED"/>
        </w:rPr>
        <w:t>第二阶段（6-12个月）：规模扩展——</w:t>
      </w:r>
      <w:r>
        <w:t>上线Skill市场UGC功能，支持用户创建和交易自定义Skill；拓展至毕业设计、考研复试报告等场景；用户规模突破5万，月活达到1万。</w:t>
      </w:r>
    </w:p>
    <w:p>
      <w:pPr>
        <w:numPr>
          <w:ilvl w:val="0"/>
          <w:numId w:val="1"/>
        </w:numPr>
        <w:ind w:firstLine="0"/>
      </w:pPr>
      <w:r>
        <w:rPr>
          <w:b/>
          <w:color w:val="7C3AED"/>
        </w:rPr>
        <w:t>第三阶段（12-24个月）：生态构建——</w:t>
      </w:r>
      <w:r>
        <w:t>与高校教务处、竞赛组委会建立官方合作，成为指定辅助工具；探索AI学术辅导、竞赛培训等增值服务；启动A轮融资，估值目标1亿元。</w:t>
      </w:r>
    </w:p>
    <w:p>
      <w:pPr>
        <w:pStyle w:val="Heading1"/>
      </w:pPr>
      <w:r>
        <w:t>六、团队与实施计划</w:t>
      </w:r>
      <w:bookmarkStart w:name="_Toc006" w:id="7"/>
      <w:bookmarkEnd w:id="7"/>
    </w:p>
    <w:p>
      <w:r>
        <w:t>叙笔创始团队由具有数模竞赛实战经验和AI产品热情的在校大学生组成。团队核心优势在于：第一，深度理解目标用户——我们自己就是产品的目标用户，对痛点有切身体会；第二，拥有验证过的方法论——创始成员曾获数学建模竞赛省级一等奖，其工作流方法已在个人实践中跑通完整闭环；第三，快速学习能力——团队成员具备全栈开发基础，能够在短时间内掌握所需的工程技能。</w:t>
      </w:r>
    </w:p>
    <w:p>
      <w:r>
        <w:t>当前团队面临的挑战是工程实现经验的不足。虽然我们熟悉AI工具的使用，但缺乏微信小程序开发、云端部署、支付系统集成等商业化产品的工程经验。我们正在通过以下方式积极应对：一是加入校内技术社群，寻求有经验的开发者指导；二是利用Cursor、GitHub Copilot等AI编程工具加速学习曲线；三是计划招募1-2名有项目经验的技术合伙人。</w:t>
      </w:r>
    </w:p>
    <w:p>
      <w:r>
        <w:t>实施计划方面，未来3个月的核心任务包括：完成产品原型开发（基于网页端）、制作3个标准Skill模板、在小范围用户群中完成可用性测试。我们诚挚地寻求技术导师和行业前辈的指导，特别是在云架构设计和合规安全方面的建议。</w:t>
      </w:r>
    </w:p>
    <w:p>
      <w:pPr>
        <w:pStyle w:val="Heading1"/>
      </w:pPr>
      <w:r>
        <w:t>七、风险分析与应对</w:t>
      </w:r>
      <w:bookmarkStart w:name="_Toc007" w:id="8"/>
      <w:bookmarkEnd w:id="8"/>
    </w:p>
    <w:p>
      <w:pPr>
        <w:pStyle w:val="Heading2"/>
      </w:pPr>
      <w:r>
        <w:t>7.1 技术风险</w:t>
      </w:r>
    </w:p>
    <w:p>
      <w:r>
        <w:t>主要技术风险包括模型API稳定性、长文本生成一致性、复杂公式排版准确性等。应对措施：建立多模型降级策略（主模型故障时自动切换备用模型）；引入人工审核节点，在关键阶段强制用户确认；与专业LaTeX排版服务合作，确保公式渲染质量。</w:t>
      </w:r>
    </w:p>
    <w:p>
      <w:pPr>
        <w:pStyle w:val="Heading2"/>
      </w:pPr>
      <w:r>
        <w:t>7.2 合规风险</w:t>
      </w:r>
    </w:p>
    <w:p>
      <w:r>
        <w:t>学术诚信是最大合规风险。应对措施：产品内置AIGC检测与降重模块，确保生成内容通过学校检测；在显著位置标注AI辅助使用情况，倡导透明使用；建立内容审核机制，拒绝代写违规论文的请求；与高校合作制定AI辅助学术创作的合规指南。</w:t>
      </w:r>
    </w:p>
    <w:p>
      <w:pPr>
        <w:pStyle w:val="Heading2"/>
      </w:pPr>
      <w:r>
        <w:t>7.3 市场风险</w:t>
      </w:r>
    </w:p>
    <w:p>
      <w:r>
        <w:t>大厂可能快速跟进类似功能（如Kimi、豆包已推出论文辅助）。应对措施：深耕垂直场景，构建Skill生态壁垒；强调"经验封装"差异化价值，而非通用写作能力；快速建立用户社区和品牌认知，抢占心智。</w:t>
      </w:r>
    </w:p>
    <w:p>
      <w:pPr>
        <w:sectPr>
          <w:headerReference w:type="default" r:id="R21675efccafa42cb"/>
          <w:footerReference w:type="default" r:id="R93b2e94ce6c347c8"/>
          <w:pgSz w:w="11906" w:h="16838"/>
          <w:pgMar w:top="1800" w:right="1440" w:bottom="1440" w:left="1440" w:header="720" w:footer="720"/>
        </w:sectPr>
      </w:pP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spacing w:before="600" w:after="240"/>
      </w:pPr>
      <w:r>
        <w:rPr>
          <w:rFonts w:ascii="Calibri" w:hAnsi="Calibri" w:eastAsia="Microsoft YaHei"/>
          <w:b/>
          <w:color w:val="7C3AED"/>
          <w:sz w:val="36"/>
        </w:rPr>
        <w:t>八、附录：原始创意文档</w:t>
      </w:r>
    </w:p>
    <w:p>
      <w:r>
        <w:t>以下为创始团队最初构思"Skill + Harness"工作流方法的原始文档，完整保留了从电动力学项目化学习实践中提炼出的核心思想、完整工作流程、提示词示例和AI对话记录。该文档是叙笔产品方法论的直接源头。</w:t>
      </w:r>
    </w:p>
    <w:p>
      <w:pPr>
        <w:pBdr>
          <w:left w:val="single" w:color="7C3AED" w:sz="24" w:space="8"/>
        </w:pBdr>
        <w:shd w:val="clear" w:fill="F9FAFB"/>
        <w:spacing w:before="400" w:after="200"/>
        <w:ind w:left="360" w:right="360" w:firstLine="0"/>
      </w:pPr>
      <w:r>
        <w:rPr>
          <w:rFonts w:ascii="Calibri" w:hAnsi="Calibri" w:eastAsia="Microsoft YaHei"/>
          <w:b/>
          <w:color w:val="7C3AED"/>
          <w:sz w:val="20"/>
        </w:rPr>
        <w:t>以下为原始文档完整内容：</w:t>
      </w:r>
    </w:p>
    <w:p>
      <w:pPr>
        <w:shd w:val="clear" w:fill="F9FAFB"/>
        <w:spacing w:before="200" w:after="80" w:line="340" w:lineRule="auto"/>
        <w:ind w:left="360" w:right="360" w:firstLine="0"/>
      </w:pPr>
      <w:r>
        <w:rPr>
          <w:rFonts w:ascii="Calibri" w:hAnsi="Calibri" w:eastAsia="Microsoft YaHei"/>
          <w:b w:val="true"/>
          <w:color w:val="1F2937"/>
          <w:sz w:val="20"/>
        </w:rPr>
        <w:t>一、Skill + Harness 核心理解（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Skill（技能）：把你这套数模/科研/AI辅助全流程经验，封装成一个可复用、可调用、可复制的标准化工作流模板 = 你的“独家AI方法论”。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Harness（工程化/驾驭）：把经验结构化、工程化、可落地，让AI稳定听话、不出错、不幻觉、可复现、可存档、可迭代。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你现在已经跑完完整项目，完全可以把整套经验封装成一个通用 Skill，以后任何数模/科研/编程课设，直接调用就行。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经验原文完整整理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Harness 工程初体验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——以电动力学项目化学习为例</w:t>
      </w:r>
    </w:p>
    <w:p>
      <w:pPr>
        <w:shd w:val="clear" w:fill="F9FAFB"/>
        <w:spacing w:before="200" w:after="80" w:line="340" w:lineRule="auto"/>
        <w:ind w:left="360" w:right="360" w:firstLine="0"/>
      </w:pPr>
      <w:r>
        <w:rPr>
          <w:rFonts w:ascii="Calibri" w:hAnsi="Calibri" w:eastAsia="Microsoft YaHei"/>
          <w:b w:val="true"/>
          <w:color w:val="1F2937"/>
          <w:sz w:val="20"/>
        </w:rPr>
        <w:t>一、核心思想：AI 使用工作流 = 数模标准流程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我这次完整的项目经历，可以直接蒸馏、封装成一个通用 Skill。 以后遇到任何数模类课题，直接一键调用这套 Skill，几乎不需要人类再从头思考。 同时也带来一个思考：当人类经验可以被完全蒸馏为 Skill，人本身的价值在哪里？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所谓“没有人类了”，真的是这样，所以写完这份文档没有快感，只有后背发凉的恐惧，我的所有经验都可以被这样完整的蒸馏成skill，这是我最大的知识产权和价值所在，但是在这种skill漫天飞的时代，这种东西几乎是唾手可得的，那这个时候人类存在的价值是什么呢，人生而高贵的那一套虚无缥缈，从实用论和价值论的角度出发人类的作用知识给AI提供skill的蒸馏来源吗</w:t>
      </w:r>
    </w:p>
    <w:p>
      <w:pPr>
        <w:shd w:val="clear" w:fill="F9FAFB"/>
        <w:spacing w:before="200" w:after="80" w:line="340" w:lineRule="auto"/>
        <w:ind w:left="360" w:right="360" w:firstLine="0"/>
      </w:pPr>
      <w:r>
        <w:rPr>
          <w:rFonts w:ascii="Calibri" w:hAnsi="Calibri" w:eastAsia="Microsoft YaHei"/>
          <w:b w:val="true"/>
          <w:color w:val="1F2937"/>
          <w:sz w:val="20"/>
        </w:rPr>
        <w:t>二、完整 AI 辅助科研·数模项目工作流（可直接封装为 Skill）</w:t>
      </w:r>
    </w:p>
    <w:p>
      <w:pPr>
        <w:shd w:val="clear" w:fill="F9FAFB"/>
        <w:spacing w:before="200" w:after="80" w:line="340" w:lineRule="auto"/>
        <w:ind w:left="360" w:right="360" w:firstLine="0"/>
      </w:pPr>
      <w:r>
        <w:rPr>
          <w:rFonts w:ascii="Calibri" w:hAnsi="Calibri" w:eastAsia="Microsoft YaHei"/>
          <w:b w:val="true"/>
          <w:color w:val="1F2937"/>
          <w:sz w:val="20"/>
        </w:rPr>
        <w:t>1. 任务输入：把题目喂给多AI并行（GPT + 豆包 + DeepSeek）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拿到题目后，同时喂给 GPT、豆包、DeepSeek，写出第一版详细 CC 提示词，本质就是一份需求文档。 必须写清楚：项目背景、物理建模、算法流程、出图要求、最终验收标准。 初版思路与建模优先让 DeepSeek 输出（DS 擅长直接给代码实例，方便 CC 参考）。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使用提示词示例： （1）“基于深度学习的超构表面单元逆向设计与反常折射特性研究，先说一下你的思路，准备解决的核心问题是什么。” （2）“还行，下面先总结我们要研究的问题，包含背景、意义等，然后给出要做什么、怎么做，给详细思路，我们做纯编程，用 Python，讲清代码思路和要实现的效果。”</w:t>
      </w:r>
    </w:p>
    <w:p>
      <w:pPr>
        <w:shd w:val="clear" w:fill="F9FAFB"/>
        <w:spacing w:before="200" w:after="80" w:line="340" w:lineRule="auto"/>
        <w:ind w:left="360" w:right="360" w:firstLine="0"/>
      </w:pPr>
      <w:r>
        <w:rPr>
          <w:rFonts w:ascii="Calibri" w:hAnsi="Calibri" w:eastAsia="Microsoft YaHei"/>
          <w:b w:val="true"/>
          <w:color w:val="1F2937"/>
          <w:sz w:val="20"/>
        </w:rPr>
        <w:t>2. 初版工程落地：喂给 Claude Code / Copilot 跑通方案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把提示词交给 CC，让其生成初版完整方案。 强制要求先写测试脚本，先跑通环境、函数导入、数据格式，再开始训练，避免浪费大量时间。 跑通后立刻上传 GitHub 存档一版。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3. 关键纠错存档：用豆包专门记录所有迭代（极其重要）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打开豆包，新开一个对话，把每一次关键纠错、迭代全部记录进去。 作用：方便最后输出 AI 交互记录，也便于后期蒸馏成工作流 Skill，强烈建议使用。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给豆包的提示词： “这是我要完成的要求，下面你的任务：我会把关键 AI 交互记录发给你，你负责认真记录，到一定数量我会让你总结，满足 PDF 要求，你需要记录哪些关键信息？” “不需要复杂，我下面发的基本都是豆包内容，也会告诉你有没有出错，你只负责认真记录，最后我让你总结，明白吗？” “很好，这是最开始的交互记录，用的 DeepSeek，最终内容给了 VSCode Copilot，10 分钟生成初版代码库，创建虚拟环境并配置，代码可运行，但物理参数和推导未检查，初版 GitHub 链接也有：xxx，记录好。”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4. 初版问题修正：用 GPT 做深度调研与物理严谨化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初版代码必然大量问题： 物理参数错误、目标无物理意义、公式边界错误、算法不合适、损失函数不合理等。 这一步必须用 GPT 做强调研能力。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使用提示词： “基于深度学习的超构表面单元逆向设计与反常折射特性研究，是电动力学项目化学习，先做详细背景调研，要深入，给文献，简单清晰讲清课题。” “先不着急，我想清楚几个问题：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数据集从哪来，网上找还是自己生成？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深度学习具体选什么算法？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广义菲涅尔公式怎么来的？文献？推导？物理边界？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课题要落到实际应用，波长、角度、实现效果必须明确。” “等一下，课题必须有实际物理意义，1550 是通信波段，为什么正入射、30° 折射？物理意义是什么？必须研究实际问题，不能随便设。” “角度你说有很多文献，那把文献发我看看。” “很不错，现在完整推导物理模型和应用背景，说清：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项目大背景、深度学习作用；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为什么选这个波段，文献依据；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最终选什么算法，依据与文献；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物理模型构建（重要，详细）。” “有很多问题：1. 分点太散，无科研论文风格；2. 公式缺文献依据，按论文风格重写。” “很好，下面讲数据集生成方法，要有理有据。” “很好，现在我有 Copilot 和初版代码，按你上面的推导做更严谨修改，把整个编码思路、特别是物理原理与约束说清楚，相当于需求文档，我给 CC 实现。” “原理不够详细，再来一遍。”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按这套流程得到完整提示词，同步发给 DS、豆包、CC，CC 进行第二轮迭代，效果会明显变好，存档 GitHub 新分支。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5. 论文准备：用 GPT 搞定文献调研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调研部分 GPT 效果最好，一波提示词基本成型，但文献必须自己溯源，用 Zotero 抓取，保证质量与规范。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提示词： “非常好！现在开始写文章，一部分一部分来，先写文献调研：大背景、具体目标确定、为什么选这个波段、应用价值等，务必详细，带引用，直接把文献标题标在旁边。”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6. 精调模型：明确物理参数、边界、验收标准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GPT 输出后，继续与 DS 对话，精确定义参数、物理边界、验收标准，再让 CC 修改迭代。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提示词： “这是修正后的算法，对波长、无物理约束、数据生成做了详细规定。一个重要问题：物理参数具体有哪些、怎么设定？先告诉你原本设定，我估计有问题，需要依据、找文献确定，因为初代代码误差接近 100%，不可信。” “等一下，涉及材料选择吗？再讲一遍哪些是物理模型参数，哪些是深度学习参数。” “原代码里还有很多验证手段，你说一下有哪些、合理吗、怎么判断结果好坏。”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7. 结果迭代：误差分析→方案→修改（多次循环直到达标）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这一步非常关键，其实前面就可以开始。 把输出结果交给 DS 分析，给出降误差方案，再交给 CC 修改，循环直到验收标准全部通过。 出图 DS 不行就用豆包分析（这也是建议同步用豆包记录进度的原因）。 全部验收通过，发布第三个分支，代码阶段结束。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8. 论文撰写：用 DS 整合建模、结果、图片、文档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把之前存档的建模修改文档、结果、图片目录、最新运行结果、GitHub 链接全部交给 DS。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提示词： “这是之前的技术文档，问题如下，给我完整内容：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部分内容（参数、网络、数据生成）已更新但文档没更新；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有冗余重复，调研已做好，这里不用多提；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完全没有运行结果，需要补上，包括各类图片，留出位置，图片目录已给，最新运行结果如下，项目可在 GitHub 查看：xxx。” “挺好，但物理建模不够详细，比如……” 多补几次，让 DS 输出完善版本。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9. 阶段性收尾：豆包输出 AI 交互记录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每完成一个大阶段，让豆包把之前记录的对话整理输出 AI 交互记录。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10. 论文优化：全文润色、摘要、配图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建模、摘要、AI 交互、调研等部分，可用 GPT image2 或类似工具生成示意图（英文更佳）。 这一步调研做好后就可以同步进行。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11. PPT/视频展示：用豆包全局记录生成讲稿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豆包的记录对话相当于全局统领，所有关键交互、建模、结论都有。 把调研文档、建模文档、AI 交互记录、结果全部交给它。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提示词： “现在我要录 5 分钟视频讲工作，包括三部分：1.调研；2.原理、建模、算法、结果；3.AI 使用记录。 三部分内容都给你了，我想整理讲述文档，交给 Claude Code 生成 PPT 网页，然后录视频讲解，可实操。 你的任务：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整理三个文档内容，输出网页展示内容，按论文形式，尽量详细，调研必须带参考文献，结果图片在项目文件夹里，要能直接放进网页，强调这点；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把网页风格设计好看、惊艳。”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把上述提示词发给同项目 CC，迭代约 10 分钟，全部完成。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如果需要latex排版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提示词：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你现在是专业LaTeX排版专家，请为我的电动力学项目化学习报告生成完整可编译的LaTeX工程。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项目名称：基于深度学习的超构表面单元逆向设计与反常折射特性研究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要求：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生成完整的VSCode可编译LaTeX工程，包含main.tex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使用标准学术报告格式，A4、双页、11pt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包含以下章节：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标题页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摘要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研究背景与文献调研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物理模型构建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深度学习算法设计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数据集生成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实验结果与分析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AI交互记录与Harness Skill总结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结论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参考文献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自动预留公式、图片、代码块位置，图片需要正确插入，在项目文件夹里都有，文章先按照你自己的理解来写，后面我会给你详细的报告内容。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格式美观、学术风格、无报错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可以直接在VSCode + LaTeX Workshop中一键编译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请直接输出完整可编译的main.tex文件。</w:t>
      </w:r>
    </w:p>
    <w:p>
      <w:pPr>
        <w:shd w:val="clear" w:fill="F9FAFB"/>
        <w:spacing w:before="200" w:after="80" w:line="340" w:lineRule="auto"/>
        <w:ind w:left="360" w:right="360" w:firstLine="0"/>
      </w:pPr>
      <w:r>
        <w:rPr>
          <w:rFonts w:ascii="Calibri" w:hAnsi="Calibri" w:eastAsia="Microsoft YaHei"/>
          <w:b w:val="true"/>
          <w:color w:val="1F2937"/>
          <w:sz w:val="20"/>
        </w:rPr>
        <w:t>三、项目实例与对话记录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项目实例： https://github.com/Hu-yuancai/Project-Based-Learning-of-Electrodynamics-Electrodynamics-Project-Based-Learning-/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DeepSeek 对话记录：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https://chat.deepseek.com/share/z7r113fdpxug90aoq7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GPT 对话记录： https://chatgpt.com/share/69e8ef8f-4f74-83ea-a568-72ce80e0bb87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豆包对话记录（主记录）：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https://www.doubao.com/thread/w9598778706b5f089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豆包对话记录（Debug/环境/Git）： https://www.doubao.com/thread/w541247c3628b7f50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Claude Code 对话记录：在 VSCode 内，直接参考工程即可。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Lavort生图对话链接：https://www.lovart.ai/r/ikgk6z8</w:t>
      </w:r>
    </w:p>
    <w:p>
      <w:pPr>
        <w:shd w:val="clear" w:fill="F9FAFB"/>
        <w:spacing w:before="200" w:after="80" w:line="340" w:lineRule="auto"/>
        <w:ind w:left="360" w:right="360" w:firstLine="0"/>
      </w:pPr>
      <w:r>
        <w:rPr>
          <w:rFonts w:ascii="Calibri" w:hAnsi="Calibri" w:eastAsia="Microsoft YaHei"/>
          <w:b w:val="true"/>
          <w:color w:val="1F2937"/>
          <w:sz w:val="20"/>
        </w:rPr>
        <w:t>三、下一步：封装成「Skill 文件」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你只要说一句： “帮我把上面内容封装成标准 Skill 模板，可直接给 Claude Code 使用。” 我就给你生成一个标准 Skill 格式文件，包含：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name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description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input/output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完整工作流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所有提示词库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验收标准</w:t>
      </w:r>
    </w:p>
    <w:p>
      <w:pPr>
        <w:shd w:val="clear" w:fill="F9FAFB"/>
        <w:spacing w:before="80" w:after="80" w:line="340" w:lineRule="auto"/>
        <w:ind w:left="360" w:right="360" w:firstLine="0"/>
      </w:pPr>
      <w:r>
        <w:rPr>
          <w:rFonts w:ascii="Calibri" w:hAnsi="Calibri" w:eastAsia="Microsoft YaHei"/>
          <w:b w:val="false"/>
          <w:color w:val="6B7280"/>
          <w:sz w:val="18"/>
        </w:rPr>
        <w:t>错误避坑清单</w:t>
      </w:r>
    </w:p>
    <w:p>
      <w:pPr>
        <w:shd w:val="clear" w:fill="F9FAFB"/>
        <w:spacing w:before="40" w:after="40" w:line="320" w:lineRule="auto"/>
        <w:ind w:left="360" w:right="360" w:firstLine="0"/>
      </w:pPr>
      <w:r>
        <w:rPr>
          <w:rFonts w:ascii="Calibri" w:hAnsi="Calibri" w:eastAsia="Microsoft YaHei"/>
          <w:color w:val="1F2937"/>
          <w:sz w:val="18"/>
        </w:rPr>
        <w:t>以后任何数模/科研/课设，一句话调用，甚至可以做成一个软件，付费使用！</w:t>
      </w:r>
    </w:p>
    <w:p>
      <w:pPr>
        <w:pBdr>
          <w:left w:val="single" w:color="7C3AED" w:sz="24" w:space="8"/>
        </w:pBdr>
        <w:shd w:val="clear" w:fill="F3E8FF"/>
        <w:spacing w:before="400" w:after="200"/>
        <w:ind w:left="360" w:right="360" w:firstLine="0"/>
      </w:pPr>
      <w:r>
        <w:rPr>
          <w:rFonts w:ascii="Calibri" w:hAnsi="Calibri" w:eastAsia="Microsoft YaHei"/>
          <w:i/>
          <w:color w:val="1F2937"/>
          <w:sz w:val="20"/>
        </w:rPr>
        <w:t>"所谓没有人类了，真的是这样，所以写完这份文档没有快感，只有后背发凉的恐惧，我的所有经验都可以被这样完整的蒸馏成skill，这是我最大的知识产权和价值所在。那这个时候人类存在的价值是什么呢？叙笔的答案是：从执行者升维为架构师。"</w:t>
      </w: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7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5a48a54ed8f34cc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000"/>
        <w:jc w:val="center"/>
      </w:pPr>
      <w:r>
        <w:rPr>
          <w:rFonts w:ascii="Calibri" w:hAnsi="Calibri" w:eastAsia="Microsoft YaHei"/>
          <w:b/>
          <w:color w:val="7C3AED"/>
          <w:sz w:val="48"/>
        </w:rPr>
        <w:t>叙写每一笔，成章自有时</w:t>
      </w:r>
    </w:p>
    <w:p>
      <w:pPr>
        <w:spacing w:before="400"/>
        <w:jc w:val="center"/>
      </w:pPr>
      <w:r>
        <w:rPr>
          <w:rFonts w:ascii="Calibri" w:hAnsi="Calibri" w:eastAsia="Microsoft YaHei"/>
          <w:color w:val="6B7280"/>
          <w:sz w:val="22"/>
        </w:rPr>
        <w:t>叙笔 Xubi — 大学生全栈式学术创作智能伙伴</w:t>
      </w:r>
    </w:p>
    <w:p>
      <w:pPr>
        <w:spacing w:before="200"/>
        <w:jc w:val="center"/>
      </w:pPr>
      <w:r>
        <w:rPr>
          <w:rFonts w:ascii="Calibri" w:hAnsi="Calibri" w:eastAsia="Microsoft YaHei"/>
          <w:color w:val="9CA3AF"/>
          <w:sz w:val="18"/>
        </w:rPr>
        <w:t>腾讯PCG校园AI产品创意大赛 | 2025年5月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9CA3AF"/>
        <w:sz w:val="18"/>
      </w:rPr>
      <w:t xml:space="preserve">第 </w:t>
    </w:r>
    <w:r>
      <w:rPr>
        <w:rFonts w:ascii="Calibri" w:hAnsi="Calibri" w:eastAsia="Microsoft YaHei"/>
        <w:color w:val="9CA3AF"/>
        <w:sz w:val="18"/>
      </w:rPr>
      <w:fldChar w:fldCharType="begin"/>
    </w:r>
    <w:r>
      <w:rPr>
        <w:rFonts w:ascii="Calibri" w:hAnsi="Calibri" w:eastAsia="Microsoft YaHei"/>
        <w:color w:val="9CA3AF"/>
        <w:sz w:val="18"/>
      </w:rPr>
      <w:instrText xml:space="preserve"> PAGE </w:instrText>
    </w:r>
    <w:r>
      <w:rPr>
        <w:rFonts w:ascii="Calibri" w:hAnsi="Calibri" w:eastAsia="Microsoft YaHei"/>
        <w:color w:val="9CA3AF"/>
        <w:sz w:val="18"/>
      </w:rPr>
      <w:fldChar w:fldCharType="separate"/>
    </w:r>
    <w:r>
      <w:rPr>
        <w:rFonts w:ascii="Calibri" w:hAnsi="Calibri" w:eastAsia="Microsoft YaHei"/>
        <w:color w:val="9CA3AF"/>
        <w:sz w:val="18"/>
      </w:rPr>
      <w:t>1</w:t>
    </w:r>
    <w:r>
      <w:rPr>
        <w:rFonts w:ascii="Calibri" w:hAnsi="Calibri" w:eastAsia="Microsoft YaHei"/>
        <w:color w:val="9CA3AF"/>
        <w:sz w:val="18"/>
      </w:rPr>
      <w:fldChar w:fldCharType="end"/>
    </w:r>
    <w:r>
      <w:rPr>
        <w:rFonts w:ascii="Calibri" w:hAnsi="Calibri" w:eastAsia="Microsoft YaHei"/>
        <w:color w:val="9CA3AF"/>
        <w:sz w:val="18"/>
      </w:rPr>
      <w:t xml:space="preserve"> 页 / 共 </w:t>
    </w:r>
    <w:r>
      <w:rPr>
        <w:rFonts w:ascii="Calibri" w:hAnsi="Calibri" w:eastAsia="Microsoft YaHei"/>
        <w:color w:val="9CA3AF"/>
        <w:sz w:val="18"/>
      </w:rPr>
      <w:fldChar w:fldCharType="begin"/>
    </w:r>
    <w:r>
      <w:rPr>
        <w:rFonts w:ascii="Calibri" w:hAnsi="Calibri" w:eastAsia="Microsoft YaHei"/>
        <w:color w:val="9CA3AF"/>
        <w:sz w:val="18"/>
      </w:rPr>
      <w:instrText xml:space="preserve"> NUMPAGES </w:instrText>
    </w:r>
    <w:r>
      <w:rPr>
        <w:rFonts w:ascii="Calibri" w:hAnsi="Calibri" w:eastAsia="Microsoft YaHei"/>
        <w:color w:val="9CA3AF"/>
        <w:sz w:val="18"/>
      </w:rPr>
      <w:fldChar w:fldCharType="separate"/>
    </w:r>
    <w:r>
      <w:rPr>
        <w:rFonts w:ascii="Calibri" w:hAnsi="Calibri" w:eastAsia="Microsoft YaHei"/>
        <w:color w:val="9CA3AF"/>
        <w:sz w:val="18"/>
      </w:rPr>
      <w:t>1</w:t>
    </w:r>
    <w:r>
      <w:rPr>
        <w:rFonts w:ascii="Calibri" w:hAnsi="Calibri" w:eastAsia="Microsoft YaHei"/>
        <w:color w:val="9CA3AF"/>
        <w:sz w:val="18"/>
      </w:rPr>
      <w:fldChar w:fldCharType="end"/>
    </w:r>
    <w:r>
      <w:rPr>
        <w:rFonts w:ascii="Calibri" w:hAnsi="Calibri" w:eastAsia="Microsoft YaHei"/>
        <w:color w:val="9CA3AF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9CA3AF"/>
        <w:sz w:val="18"/>
      </w:rPr>
      <w:t>叙笔 Xubi — 产品策划书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ind w:firstLine="480"/>
    </w:pPr>
    <w:rPr>
      <w:rFonts w:ascii="Calibri" w:hAnsi="Calibri" w:eastAsia="Microsoft YaHei"/>
      <w:color w:val="1F2937"/>
      <w:sz w:val="21"/>
    </w:rPr>
  </w:style>
  <w:style w:type="paragraph" w:styleId="Heading1">
    <w:name w:val="heading 1"/>
    <w:basedOn w:val="Normal"/>
    <w:pPr>
      <w:keepNext/>
      <w:keepLines/>
      <w:spacing w:before="600" w:after="240"/>
      <w:ind w:firstLine="0"/>
      <w:outlineLvl w:val="0"/>
    </w:pPr>
    <w:rPr>
      <w:rFonts w:ascii="Calibri" w:hAnsi="Calibri" w:eastAsia="Microsoft YaHei"/>
      <w:b/>
      <w:color w:val="7C3AED"/>
      <w:sz w:val="36"/>
    </w:rPr>
  </w:style>
  <w:style w:type="paragraph" w:styleId="Heading2">
    <w:name w:val="heading 2"/>
    <w:basedOn w:val="Normal"/>
    <w:pPr>
      <w:keepNext/>
      <w:keepLines/>
      <w:spacing w:before="400" w:after="160"/>
      <w:ind w:firstLine="0"/>
      <w:outlineLvl w:val="1"/>
    </w:pPr>
    <w:rPr>
      <w:rFonts w:ascii="Calibri" w:hAnsi="Calibri" w:eastAsia="Microsoft YaHei"/>
      <w:b/>
      <w:color w:val="1F2937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rFonts w:ascii="Calibri" w:hAnsi="Calibri" w:eastAsia="Microsoft YaHei"/>
      <w:b/>
      <w:color w:val="6B7280"/>
      <w:sz w:val="24"/>
    </w:rPr>
  </w:style>
  <w:style w:type="paragraph" w:styleId="Caption">
    <w:name w:val="Caption"/>
    <w:basedOn w:val="Normal"/>
    <w:pPr>
      <w:spacing w:before="60" w:after="320"/>
      <w:ind w:firstLine="0"/>
      <w:jc w:val="center"/>
    </w:pPr>
    <w:rPr>
      <w:rFonts w:ascii="Calibri" w:hAnsi="Calibri" w:eastAsia="Microsoft YaHei"/>
      <w:color w:val="9CA3AF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Microsoft YaHei"/>
      <w:b/>
      <w:color w:val="1F2937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Microsoft YaHei"/>
      <w:color w:val="6B7280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60"/>
      <w:ind w:left="720" w:firstLine="0"/>
    </w:pPr>
    <w:rPr>
      <w:rFonts w:ascii="Calibri" w:hAnsi="Calibri" w:eastAsia="Microsoft YaHei"/>
      <w:color w:val="6B7280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70aadebaed0a474d" /><Relationship Type="http://schemas.openxmlformats.org/officeDocument/2006/relationships/numbering" Target="numbering.xml" Id="Re63eb9e50e0b444c" /><Relationship Type="http://schemas.openxmlformats.org/officeDocument/2006/relationships/image" Target="media/image.png" Id="R818aff2864914a95" /><Relationship Type="http://schemas.openxmlformats.org/officeDocument/2006/relationships/image" Target="media/image2.png" Id="R5a48a54ed8f34cc8" /><Relationship Type="http://schemas.openxmlformats.org/officeDocument/2006/relationships/header" Target="header1.xml" Id="R21675efccafa42cb" /><Relationship Type="http://schemas.openxmlformats.org/officeDocument/2006/relationships/footer" Target="footer1.xml" Id="R93b2e94ce6c347c8" /><Relationship Type="http://schemas.openxmlformats.org/officeDocument/2006/relationships/image" Target="media/image3.png" Id="R42b9ede031f84411" /><Relationship Type="http://schemas.openxmlformats.org/officeDocument/2006/relationships/image" Target="media/image4.png" Id="Rbfb4459eafe34508" /><Relationship Type="http://schemas.openxmlformats.org/officeDocument/2006/relationships/image" Target="media/image5.png" Id="Rb5b0a3985bc541d1" /><Relationship Type="http://schemas.openxmlformats.org/officeDocument/2006/relationships/image" Target="media/image6.png" Id="R2e1dfc866fc34788" /><Relationship Type="http://schemas.openxmlformats.org/officeDocument/2006/relationships/image" Target="media/image7.png" Id="R522be33572224bcf" /><Relationship Type="http://schemas.openxmlformats.org/officeDocument/2006/relationships/settings" Target="settings.xml" Id="R115115e57ad744d7" /></Relationships>
</file>