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松灵 Piper 机械臂动态抓取系统
开发与测试文档</w:t>
      </w:r>
    </w:p>
    <w:p>
      <w:r>
        <w:t xml:space="preserve">版本：V1.0　|　整理日期：2026-09-28　|　依据：工作空间源码、配置、README 与现有测试脚本</w:t>
      </w:r>
    </w:p>
    <w:p>
      <w:r>
        <w:t xml:space="preserve">本文按当前工作空间实现整理。硬件参数、标定文件和模型路径与设备部署绑定；执行前应以现场配置为准。本文件中的验收步骤是测试建议，除“仓库现有测试覆盖”标注外不代表已经在本次整理中运行或通过。</w:t>
      </w:r>
    </w:p>
    <w:p>
      <w:pPr>
        <w:pStyle w:val="Heading1"/>
      </w:pPr>
      <w:r>
        <w:t xml:space="preserve">1. 文档目的与范围</w:t>
      </w:r>
    </w:p>
    <w:p>
      <w:r>
        <w:t xml:space="preserve">说明 agx_arm_ws 中 Piper 动态抓取与分拣软件的模块边界、运行链路、关键算法、配置入口、部署操作和验证方法。范围包含 ROS 2 驱动/MoveIt、D455 与检测数据接口、GraspNet 可选服务、动态跟踪抓取节点、GUI/传送带接口、周期抓取服务、仿真与离线工具。</w:t>
      </w:r>
    </w:p>
    <w:p>
      <w:pPr>
        <w:pStyle w:val="Heading1"/>
      </w:pPr>
      <w:r>
        <w:t xml:space="preserve">2. 工作空间结构与职责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路径/组件</w:t>
            </w:r>
          </w:p>
        </w:tc>
        <w:tc>
          <w:tcPr>
            <w:tcW w:w="2400" w:type="dxa"/>
            <w:shd w:fill="D9EAF7"/>
          </w:tcPr>
          <w:p>
            <w:r>
              <w:t xml:space="preserve">职责</w:t>
            </w:r>
          </w:p>
        </w:tc>
      </w:tr>
      <w:tr>
        <w:tc>
          <w:tcPr>
            <w:tcW w:w="2400" w:type="dxa"/>
          </w:tcPr>
          <w:p>
            <w:r>
              <w:t xml:space="preserve">src/agx_arm_ros/src/agx_arm_ctrl</w:t>
            </w:r>
          </w:p>
        </w:tc>
        <w:tc>
          <w:tcPr>
            <w:tcW w:w="2400" w:type="dxa"/>
          </w:tcPr>
          <w:p>
            <w:r>
              <w:t xml:space="preserve">Piper ROS 2 驱动、CAN 通信、状态反馈、控制接口与启动文件</w:t>
            </w:r>
          </w:p>
        </w:tc>
      </w:tr>
      <w:tr>
        <w:tc>
          <w:tcPr>
            <w:tcW w:w="2400" w:type="dxa"/>
          </w:tcPr>
          <w:p>
            <w:r>
              <w:t xml:space="preserve">src/agx_arm_ros/src/agx_arm_moveit</w:t>
            </w:r>
          </w:p>
        </w:tc>
        <w:tc>
          <w:tcPr>
            <w:tcW w:w="2400" w:type="dxa"/>
          </w:tcPr>
          <w:p>
            <w:r>
              <w:t xml:space="preserve">机器人描述、MoveIt 规划配置、控制器配置及仿真启动</w:t>
            </w:r>
          </w:p>
        </w:tc>
      </w:tr>
      <w:tr>
        <w:tc>
          <w:tcPr>
            <w:tcW w:w="2400" w:type="dxa"/>
          </w:tcPr>
          <w:p>
            <w:r>
              <w:t xml:space="preserve">src/agx_arm_ros/src/agx_arm_auto_sorting</w:t>
            </w:r>
          </w:p>
        </w:tc>
        <w:tc>
          <w:tcPr>
            <w:tcW w:w="2400" w:type="dxa"/>
          </w:tcPr>
          <w:p>
            <w:r>
              <w:t xml:space="preserve">排序周期服务、配置解析、数据采集/关节状态记录器</w:t>
            </w:r>
          </w:p>
        </w:tc>
      </w:tr>
      <w:tr>
        <w:tc>
          <w:tcPr>
            <w:tcW w:w="2400" w:type="dxa"/>
          </w:tcPr>
          <w:p>
            <w:r>
              <w:t xml:space="preserve">auto_sorting_action.py</w:t>
            </w:r>
          </w:p>
        </w:tc>
        <w:tc>
          <w:tcPr>
            <w:tcW w:w="2400" w:type="dxa"/>
          </w:tcPr>
          <w:p>
            <w:r>
              <w:t xml:space="preserve">主要动作执行节点：静态/动态/GraspNet 抓取、规划、IK、状态与异常处理</w:t>
            </w:r>
          </w:p>
        </w:tc>
      </w:tr>
      <w:tr>
        <w:tc>
          <w:tcPr>
            <w:tcW w:w="2400" w:type="dxa"/>
          </w:tcPr>
          <w:p>
            <w:r>
              <w:t xml:space="preserve">graspnet_service_node.py</w:t>
            </w:r>
          </w:p>
        </w:tc>
        <w:tc>
          <w:tcPr>
            <w:tcW w:w="2400" w:type="dxa"/>
          </w:tcPr>
          <w:p>
            <w:r>
              <w:t xml:space="preserve">订阅 D455 彩色/对齐深度与相机内参，推理并输出抓取候选</w:t>
            </w:r>
          </w:p>
        </w:tc>
      </w:tr>
      <w:tr>
        <w:tc>
          <w:tcPr>
            <w:tcW w:w="2400" w:type="dxa"/>
          </w:tcPr>
          <w:p>
            <w:r>
              <w:t xml:space="preserve">sorting_gui_client.py</w:t>
            </w:r>
          </w:p>
        </w:tc>
        <w:tc>
          <w:tcPr>
            <w:tcW w:w="2400" w:type="dxa"/>
          </w:tcPr>
          <w:p>
            <w:r>
              <w:t xml:space="preserve">GUI、启动管线、检测显示、分拣控制及传送带继电器接口</w:t>
            </w:r>
          </w:p>
        </w:tc>
      </w:tr>
      <w:tr>
        <w:tc>
          <w:tcPr>
            <w:tcW w:w="2400" w:type="dxa"/>
          </w:tcPr>
          <w:p>
            <w:r>
              <w:t xml:space="preserve">conveyor_calib.py / belt_calib_cli.py / velocity_predictor.py</w:t>
            </w:r>
          </w:p>
        </w:tc>
        <w:tc>
          <w:tcPr>
            <w:tcW w:w="2400" w:type="dxa"/>
          </w:tcPr>
          <w:p>
            <w:r>
              <w:t xml:space="preserve">传送带方向拟合、速度估计与延迟补偿预测</w:t>
            </w:r>
          </w:p>
        </w:tc>
      </w:tr>
      <w:tr>
        <w:tc>
          <w:tcPr>
            <w:tcW w:w="2400" w:type="dxa"/>
          </w:tcPr>
          <w:p>
            <w:r>
              <w:t xml:space="preserve">stm32_conveyor.py / ch340-relay</w:t>
            </w:r>
          </w:p>
        </w:tc>
        <w:tc>
          <w:tcPr>
            <w:tcW w:w="2400" w:type="dxa"/>
          </w:tcPr>
          <w:p>
            <w:r>
              <w:t xml:space="preserve">串口传送带/继电器控制与状态读取</w:t>
            </w:r>
          </w:p>
        </w:tc>
      </w:tr>
      <w:tr>
        <w:tc>
          <w:tcPr>
            <w:tcW w:w="2400" w:type="dxa"/>
          </w:tcPr>
          <w:p>
            <w:r>
              <w:t xml:space="preserve">conveyor.scene / table.scene</w:t>
            </w:r>
          </w:p>
        </w:tc>
        <w:tc>
          <w:tcPr>
            <w:tcW w:w="2400" w:type="dxa"/>
          </w:tcPr>
          <w:p>
            <w:r>
              <w:t xml:space="preserve">仿真规划场景几何</w:t>
            </w:r>
          </w:p>
        </w:tc>
      </w:tr>
      <w:tr>
        <w:tc>
          <w:tcPr>
            <w:tcW w:w="2400" w:type="dxa"/>
          </w:tcPr>
          <w:p>
            <w:r>
              <w:t xml:space="preserve">tests/、offline_*、test_graspnet_hardware.sh</w:t>
            </w:r>
          </w:p>
        </w:tc>
        <w:tc>
          <w:tcPr>
            <w:tcW w:w="2400" w:type="dxa"/>
          </w:tcPr>
          <w:p>
            <w:r>
              <w:t xml:space="preserve">算法单测、IK 离线诊断及实机就绪性检查</w:t>
            </w:r>
          </w:p>
        </w:tc>
      </w:tr>
    </w:tbl>
    <w:p>
      <w:pPr>
        <w:pStyle w:val="Heading1"/>
      </w:pPr>
      <w:r>
        <w:t xml:space="preserve">3. 总体架构与数据流</w:t>
      </w:r>
    </w:p>
    <w:p>
      <w:r>
        <w:t xml:space="preserve">系统采用 ROS 2 Humble 工作空间，真实机械臂经 CAN 驱动；MoveIt 负责运动规划。眼在手外 D455 固定于传送带上方，深度与 RGB 对齐。检测节点发布检测 JSON，动态动作节点将测量坐标转换/校验后预测未来抓取位置。传送带速度来自 STM32 状态，视觉轨迹速度可用于修正。GraspNet 服务路径通过独立请求/结果话题返回 6DoF 抓取候选。GUI 负责人工触发、目标料框选择及传送带操作。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数据接口</w:t>
            </w:r>
          </w:p>
        </w:tc>
        <w:tc>
          <w:tcPr>
            <w:tcW w:w="2400" w:type="dxa"/>
            <w:shd w:fill="D9EAF7"/>
          </w:tcPr>
          <w:p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/detection_info (std_msgs/String)</w:t>
            </w:r>
          </w:p>
        </w:tc>
        <w:tc>
          <w:tcPr>
            <w:tcW w:w="2400" w:type="dxa"/>
          </w:tcPr>
          <w:p>
            <w:r>
              <w:t xml:space="preserve">检测结果 JSON；含检测状态、类别、位置/时间戳等字段，供动作节点与二阶段复核使用</w:t>
            </w:r>
          </w:p>
        </w:tc>
      </w:tr>
      <w:tr>
        <w:tc>
          <w:tcPr>
            <w:tcW w:w="2400" w:type="dxa"/>
          </w:tcPr>
          <w:p>
            <w:r>
              <w:t xml:space="preserve">/conveyor_status (std_msgs/String)</w:t>
            </w:r>
          </w:p>
        </w:tc>
        <w:tc>
          <w:tcPr>
            <w:tcW w:w="2400" w:type="dxa"/>
          </w:tcPr>
          <w:p>
            <w:r>
              <w:t xml:space="preserve">传送带速度/运行状态数据，VelocityPredictor 前馈输入</w:t>
            </w:r>
          </w:p>
        </w:tc>
      </w:tr>
      <w:tr>
        <w:tc>
          <w:tcPr>
            <w:tcW w:w="2400" w:type="dxa"/>
          </w:tcPr>
          <w:p>
            <w:r>
              <w:t xml:space="preserve">/sorting_cmds (std_msgs/String)</w:t>
            </w:r>
          </w:p>
        </w:tc>
        <w:tc>
          <w:tcPr>
            <w:tcW w:w="2400" w:type="dxa"/>
          </w:tcPr>
          <w:p>
            <w:r>
              <w:t xml:space="preserve">GUI/客户端发布 sort、sort_verify、GraspNet 或传送带相关动作命令</w:t>
            </w:r>
          </w:p>
        </w:tc>
      </w:tr>
      <w:tr>
        <w:tc>
          <w:tcPr>
            <w:tcW w:w="2400" w:type="dxa"/>
          </w:tcPr>
          <w:p>
            <w:r>
              <w:t xml:space="preserve">/graspnet/req → /graspnet/result (String)</w:t>
            </w:r>
          </w:p>
        </w:tc>
        <w:tc>
          <w:tcPr>
            <w:tcW w:w="2400" w:type="dxa"/>
          </w:tcPr>
          <w:p>
            <w:r>
              <w:t xml:space="preserve">独立 GraspNet 推理请求和候选抓取结果</w:t>
            </w:r>
          </w:p>
        </w:tc>
      </w:tr>
      <w:tr>
        <w:tc>
          <w:tcPr>
            <w:tcW w:w="2400" w:type="dxa"/>
          </w:tcPr>
          <w:p>
            <w:r>
              <w:t xml:space="preserve">/control/joint_states、MoveIt action/services</w:t>
            </w:r>
          </w:p>
        </w:tc>
        <w:tc>
          <w:tcPr>
            <w:tcW w:w="2400" w:type="dxa"/>
          </w:tcPr>
          <w:p>
            <w:r>
              <w:t xml:space="preserve">关节命令、规划、IK 与笛卡尔路径接口</w:t>
            </w:r>
          </w:p>
        </w:tc>
      </w:tr>
      <w:tr>
        <w:tc>
          <w:tcPr>
            <w:tcW w:w="2400" w:type="dxa"/>
          </w:tcPr>
          <w:p>
            <w:r>
              <w:t xml:space="preserve">/sorting_status、/sorting/cycle_result</w:t>
            </w:r>
          </w:p>
        </w:tc>
        <w:tc>
          <w:tcPr>
            <w:tcW w:w="2400" w:type="dxa"/>
          </w:tcPr>
          <w:p>
            <w:r>
              <w:t xml:space="preserve">动作状态及结构化周期结果</w:t>
            </w:r>
          </w:p>
        </w:tc>
      </w:tr>
      <w:tr>
        <w:tc>
          <w:tcPr>
            <w:tcW w:w="2400" w:type="dxa"/>
          </w:tcPr>
          <w:p>
            <w:r>
              <w:t xml:space="preserve">/feedback/joint_states、/feedback/tcp_pose</w:t>
            </w:r>
          </w:p>
        </w:tc>
        <w:tc>
          <w:tcPr>
            <w:tcW w:w="2400" w:type="dxa"/>
          </w:tcPr>
          <w:p>
            <w:r>
              <w:t xml:space="preserve">Piper 实际状态/末端反馈；用于可视化和就绪检查</w:t>
            </w:r>
          </w:p>
        </w:tc>
      </w:tr>
      <w:tr>
        <w:tc>
          <w:tcPr>
            <w:tcW w:w="2400" w:type="dxa"/>
          </w:tcPr>
          <w:p>
            <w:r>
              <w:t xml:space="preserve">/emergency_stop</w:t>
            </w:r>
          </w:p>
        </w:tc>
        <w:tc>
          <w:tcPr>
            <w:tcW w:w="2400" w:type="dxa"/>
          </w:tcPr>
          <w:p>
            <w:r>
              <w:t xml:space="preserve">GUI/节点间紧急停止信号接口</w:t>
            </w:r>
          </w:p>
        </w:tc>
      </w:tr>
    </w:tbl>
    <w:p>
      <w:pPr>
        <w:pStyle w:val="Heading1"/>
      </w:pPr>
      <w:r>
        <w:t xml:space="preserve">4. 动态抓取实现说明</w:t>
      </w:r>
    </w:p>
    <w:p>
      <w:pPr>
        <w:pStyle w:val="Heading2"/>
      </w:pPr>
      <w:r>
        <w:t xml:space="preserve">4.1 感知与坐标</w:t>
      </w:r>
    </w:p>
    <w:p>
      <w:r>
        <w:t xml:space="preserve">• 相机使用 640×480@30 配置并启用 align_depth；相机驱动 publish_tf:=false，由单独 eye-to-hand 静态 TF 提供 base_link 到 camera_color_optical_frame。启动 README 中给出的静态变换示例平移为 [0.649, -0.054, 0.596] m，使用前必须核对实际标定。</w:t>
      </w:r>
    </w:p>
    <w:p>
      <w:r>
        <w:t xml:space="preserve">• 检测节点融合目标类别、图像/深度信息和手眼外参，发布 /detection_info。目标偏移补偿可通过 x_offset_m、y_offset_m、z_offset_m、depth_offset_m 等参数调整。</w:t>
      </w:r>
    </w:p>
    <w:p>
      <w:pPr>
        <w:pStyle w:val="Heading2"/>
      </w:pPr>
      <w:r>
        <w:t xml:space="preserve">4.2 速度估计与运动预测</w:t>
      </w:r>
    </w:p>
    <w:p>
      <w:r>
        <w:t xml:space="preserve">• conveyor_calib.py 使用二维轨迹 PCA 主轴拟合传送带方向，并以 dx≥0 消除方向轴 180° 二义性；视觉速度通过时间-位置最小二乘斜率求取。</w:t>
      </w:r>
    </w:p>
    <w:p>
      <w:r>
        <w:t xml:space="preserve">• VelocityPredictor 缓存最多 20 个检测位置样本；默认以 STM32 速度沿标定方向形成前馈速度，并按 0.85/0.15 权重融合视觉速度。预测式为 p_target = p_meas + v·(t_target−t_meas)。测量时刻应使用图像采集时间戳，以补偿 YOLO/深度/通信延迟。</w:t>
      </w:r>
    </w:p>
    <w:p>
      <w:r>
        <w:t xml:space="preserve">• 方向参数来自 conveyor_calib.json；动作逻辑应在速度无效、方向缺失或目标超出工作空间时采取拒绝/降级策略。标定角度轴的正负方向不能仅依赖 PCA，应结合实际皮带运行方向确认。</w:t>
      </w:r>
    </w:p>
    <w:p>
      <w:pPr>
        <w:pStyle w:val="Heading2"/>
      </w:pPr>
      <w:r>
        <w:t xml:space="preserve">4.3 运动规划与抓取</w:t>
      </w:r>
    </w:p>
    <w:p>
      <w:r>
        <w:t xml:space="preserve">• auto_sorting_action.py 内包含 Pinocchio IK 求解实现并使用多种姿态和多初始种子搜索；IK 后还需结合关节跳变、规划可行性和碰撞场景判断。规划可使用 MoveIt 服务/action，并发布关节控制轨迹。</w:t>
      </w:r>
    </w:p>
    <w:p>
      <w:r>
        <w:t xml:space="preserve">• 动态抓取逻辑先到悬停/影子位置，再按预测目标位置安排下降和夹持；抓取高度由物体表面高度、夹持点偏移和安全下限共同计算。源码示例常量包括 GRIPPER_PICK_Z_OFFSET=0.064 m、MIN_GRASP_Z=0.045 m、DESCENT_NOMINAL_S=0.6 s；P_HOVER 示例值明确标注为待标定，不能直接视为通用值。</w:t>
      </w:r>
    </w:p>
    <w:p>
      <w:r>
        <w:t xml:space="preserve">• 工作空间含传送带碰撞场景管理逻辑：接近/下降过程按需要调整 Allowed Collision Matrix，完成后恢复碰撞检测。必须检查失败路径是否恢复场景并安全退出。</w:t>
      </w:r>
    </w:p>
    <w:p>
      <w:r>
        <w:t xml:space="preserve">• 夹爪可结合目标尺寸动态计算开口与闭合位置，并通过关节反馈判断闭合误差；GraspNet 路径额外依据候选位姿/宽度执行抓取。</w:t>
      </w:r>
    </w:p>
    <w:p>
      <w:pPr>
        <w:pStyle w:val="Heading2"/>
      </w:pPr>
      <w:r>
        <w:t xml:space="preserve">4.4 周期服务路径</w:t>
      </w:r>
    </w:p>
    <w:p>
      <w:r>
        <w:t xml:space="preserve">agx_arm_auto_sorting 的 sorting_cycle_server 提供 /sorting/prepare_once 与 /sorting/trigger_once，订阅 /sorting_cmds，状态发布到 /sorting/state、结果发布到 /sorting/cycle_result。sort_verify 命令会先到复核位等待新的检测，比较两次 XY 偏差（默认容差 0.03 m），随后使用复核坐标执行抓取。配置文件同时含工作空间、规划尺度、夹爪尺寸映射、抓放姿态和数据采集设置。该周期服务与根目录 auto_sorting_action 是不同执行实现，联调时应确认只启用预期动作入口，避免双节点抢控。</w:t>
      </w:r>
    </w:p>
    <w:p>
      <w:pPr>
        <w:pStyle w:val="Heading1"/>
      </w:pPr>
      <w:r>
        <w:t xml:space="preserve">5. 依赖与部署</w:t>
      </w:r>
    </w:p>
    <w:p>
      <w:r>
        <w:t xml:space="preserve">• ROS 2 Humble；agx_arm_ros 依赖 pyAgxArm、python-can、numpy/scipy、ros2_control 与 MoveIt 等。实际依赖以各 package.xml、驱动 README 和设备环境为准。</w:t>
      </w:r>
    </w:p>
    <w:p>
      <w:r>
        <w:t xml:space="preserve">• 实机设备：Piper、CAN 适配器（can0，文档示例 1 Mbps）、D455、CH340/STM32 传送带控制器；根据需要连接夹爪。</w:t>
      </w:r>
    </w:p>
    <w:p>
      <w:r>
        <w:t xml:space="preserve">• 推理依赖：GraspNet 权重、PyTorch/CUDA 及数据集虚拟环境；检测节点在 orange_dataset 环境。具体绝对路径来自当前部署，不建议移植时照抄。</w:t>
      </w:r>
    </w:p>
    <w:p>
      <w:pPr>
        <w:pStyle w:val="Code"/>
      </w:pPr>
      <w:r>
        <w:t xml:space="preserve">cd /home/lxf/agx_arm_ws
colcon build
source install/setup.bash</w:t>
      </w:r>
    </w:p>
    <w:p>
      <w:r>
        <w:t xml:space="preserve">代码仓库附带 start_graspnet_pipeline.sh 前置检查及分终端启动指引。建议依次启动：T1 MoveIt+Piper 驱动；T2 D455；T2b 静态相机 TF；T3 检测；T4 GraspNet（可选）；T5 auto_sorting_action；T6 GUI。先确认节点/话题就绪，再使能执行抓取。实机与仿真不要并行控制同一机械臂。</w:t>
      </w:r>
    </w:p>
    <w:p>
      <w:pPr>
        <w:pStyle w:val="Heading1"/>
      </w:pPr>
      <w:r>
        <w:t xml:space="preserve">6. 关键参数与运行约束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参数/配置</w:t>
            </w:r>
          </w:p>
        </w:tc>
        <w:tc>
          <w:tcPr>
            <w:tcW w:w="2400" w:type="dxa"/>
            <w:shd w:fill="D9EAF7"/>
          </w:tcPr>
          <w:p>
            <w:r>
              <w:t xml:space="preserve">当前源码/配置示例</w:t>
            </w:r>
          </w:p>
        </w:tc>
        <w:tc>
          <w:tcPr>
            <w:tcW w:w="2400" w:type="dxa"/>
            <w:shd w:fill="D9EAF7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ROS/相机帧率</w:t>
            </w:r>
          </w:p>
        </w:tc>
        <w:tc>
          <w:tcPr>
            <w:tcW w:w="2400" w:type="dxa"/>
          </w:tcPr>
          <w:p>
            <w:r>
              <w:t xml:space="preserve">Humble；640×480@30</w:t>
            </w:r>
          </w:p>
        </w:tc>
        <w:tc>
          <w:tcPr>
            <w:tcW w:w="2400" w:type="dxa"/>
          </w:tcPr>
          <w:p>
            <w:r>
              <w:t xml:space="preserve">相机配置必须匹配对齐深度及检测节点</w:t>
            </w:r>
          </w:p>
        </w:tc>
      </w:tr>
      <w:tr>
        <w:tc>
          <w:tcPr>
            <w:tcW w:w="2400" w:type="dxa"/>
          </w:tcPr>
          <w:p>
            <w:r>
              <w:t xml:space="preserve">传送带方向</w:t>
            </w:r>
          </w:p>
        </w:tc>
        <w:tc>
          <w:tcPr>
            <w:tcW w:w="2400" w:type="dxa"/>
          </w:tcPr>
          <w:p>
            <w:r>
              <w:t xml:space="preserve">conveyor_calib.json</w:t>
            </w:r>
          </w:p>
        </w:tc>
        <w:tc>
          <w:tcPr>
            <w:tcW w:w="2400" w:type="dxa"/>
          </w:tcPr>
          <w:p>
            <w:r>
              <w:t xml:space="preserve">PCA 轴方向还需用皮带正向确认</w:t>
            </w:r>
          </w:p>
        </w:tc>
      </w:tr>
      <w:tr>
        <w:tc>
          <w:tcPr>
            <w:tcW w:w="2400" w:type="dxa"/>
          </w:tcPr>
          <w:p>
            <w:r>
              <w:t xml:space="preserve">速度融合权重</w:t>
            </w:r>
          </w:p>
        </w:tc>
        <w:tc>
          <w:tcPr>
            <w:tcW w:w="2400" w:type="dxa"/>
          </w:tcPr>
          <w:p>
            <w:r>
              <w:t xml:space="preserve">STM32 0.85，视觉 0.15</w:t>
            </w:r>
          </w:p>
        </w:tc>
        <w:tc>
          <w:tcPr>
            <w:tcW w:w="2400" w:type="dxa"/>
          </w:tcPr>
          <w:p>
            <w:r>
              <w:t xml:space="preserve">仅当视觉速度可用时融合</w:t>
            </w:r>
          </w:p>
        </w:tc>
      </w:tr>
      <w:tr>
        <w:tc>
          <w:tcPr>
            <w:tcW w:w="2400" w:type="dxa"/>
          </w:tcPr>
          <w:p>
            <w:r>
              <w:t xml:space="preserve">周期服务工作空间</w:t>
            </w:r>
          </w:p>
        </w:tc>
        <w:tc>
          <w:tcPr>
            <w:tcW w:w="2400" w:type="dxa"/>
          </w:tcPr>
          <w:p>
            <w:r>
              <w:t xml:space="preserve">x:[0.02,0.62]、y:[-0.45,0.35]、z:[0.03,0.45] m</w:t>
            </w:r>
          </w:p>
        </w:tc>
        <w:tc>
          <w:tcPr>
            <w:tcW w:w="2400" w:type="dxa"/>
          </w:tcPr>
          <w:p>
            <w:r>
              <w:t xml:space="preserve">仅 sorting_cycle_server 配置</w:t>
            </w:r>
          </w:p>
        </w:tc>
      </w:tr>
      <w:tr>
        <w:tc>
          <w:tcPr>
            <w:tcW w:w="2400" w:type="dxa"/>
          </w:tcPr>
          <w:p>
            <w:r>
              <w:t xml:space="preserve">规划速度/加速度比例</w:t>
            </w:r>
          </w:p>
        </w:tc>
        <w:tc>
          <w:tcPr>
            <w:tcW w:w="2400" w:type="dxa"/>
          </w:tcPr>
          <w:p>
            <w:r>
              <w:t xml:space="preserve">0.4 / 0.4</w:t>
            </w:r>
          </w:p>
        </w:tc>
        <w:tc>
          <w:tcPr>
            <w:tcW w:w="2400" w:type="dxa"/>
          </w:tcPr>
          <w:p>
            <w:r>
              <w:t xml:space="preserve">周期服务配置，不等同所有 MoveIt 入口</w:t>
            </w:r>
          </w:p>
        </w:tc>
      </w:tr>
      <w:tr>
        <w:tc>
          <w:tcPr>
            <w:tcW w:w="2400" w:type="dxa"/>
          </w:tcPr>
          <w:p>
            <w:r>
              <w:t xml:space="preserve">夹爪尺寸映射</w:t>
            </w:r>
          </w:p>
        </w:tc>
        <w:tc>
          <w:tcPr>
            <w:tcW w:w="2400" w:type="dxa"/>
          </w:tcPr>
          <w:p>
            <w:r>
              <w:t xml:space="preserve">直径 0.04–0.08 m；开口 0.030–0.055 rad</w:t>
            </w:r>
          </w:p>
        </w:tc>
        <w:tc>
          <w:tcPr>
            <w:tcW w:w="2400" w:type="dxa"/>
          </w:tcPr>
          <w:p>
            <w:r>
              <w:t xml:space="preserve">周期服务配置示例</w:t>
            </w:r>
          </w:p>
        </w:tc>
      </w:tr>
      <w:tr>
        <w:tc>
          <w:tcPr>
            <w:tcW w:w="2400" w:type="dxa"/>
          </w:tcPr>
          <w:p>
            <w:r>
              <w:t xml:space="preserve">动态抓取高度保护</w:t>
            </w:r>
          </w:p>
        </w:tc>
        <w:tc>
          <w:tcPr>
            <w:tcW w:w="2400" w:type="dxa"/>
          </w:tcPr>
          <w:p>
            <w:r>
              <w:t xml:space="preserve">MIN_GRASP_Z=0.045 m；夹持点偏移 0.064 m</w:t>
            </w:r>
          </w:p>
        </w:tc>
        <w:tc>
          <w:tcPr>
            <w:tcW w:w="2400" w:type="dxa"/>
          </w:tcPr>
          <w:p>
            <w:r>
              <w:t xml:space="preserve">auto_sorting_action 源码示例，现场需标定</w:t>
            </w:r>
          </w:p>
        </w:tc>
      </w:tr>
      <w:tr>
        <w:tc>
          <w:tcPr>
            <w:tcW w:w="2400" w:type="dxa"/>
          </w:tcPr>
          <w:p>
            <w:r>
              <w:t xml:space="preserve">悬停位/下降提前量</w:t>
            </w:r>
          </w:p>
        </w:tc>
        <w:tc>
          <w:tcPr>
            <w:tcW w:w="2400" w:type="dxa"/>
          </w:tcPr>
          <w:p>
            <w:r>
              <w:t xml:space="preserve">P_HOVER 示例 z=0.32 m；标称下降 0.6 s</w:t>
            </w:r>
          </w:p>
        </w:tc>
        <w:tc>
          <w:tcPr>
            <w:tcW w:w="2400" w:type="dxa"/>
          </w:tcPr>
          <w:p>
            <w:r>
              <w:t xml:space="preserve">源码明确标注待标定，需按机械臂/皮带校准</w:t>
            </w:r>
          </w:p>
        </w:tc>
      </w:tr>
    </w:tbl>
    <w:p>
      <w:pPr>
        <w:pStyle w:val="Heading1"/>
      </w:pPr>
      <w:r>
        <w:t xml:space="preserve">7. 操作流程与故障处理</w:t>
      </w:r>
    </w:p>
    <w:p>
      <w:r>
        <w:t xml:space="preserve">上电后检查急停、机械臂周边净空、夹爪安装和 CAN；激活 CAN 并使能机械臂；启动 MoveIt/驱动、相机与 TF、检测节点、可选 GraspNet、动作节点、GUI。先在低速/空载状态验证单点姿态与夹爪，再放置软质轻物测试静态抓取，最后进行移动目标测试。每次循环核对目标类别、预测位置、规划结果、夹爪反馈、放置位置和结果 JSON。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r>
        <w:tc>
          <w:tcPr>
            <w:tcW w:w="2400" w:type="dxa"/>
            <w:shd w:fill="D9EAF7"/>
          </w:tcPr>
          <w:p>
            <w:r>
              <w:t xml:space="preserve">现象</w:t>
            </w:r>
          </w:p>
        </w:tc>
        <w:tc>
          <w:tcPr>
            <w:tcW w:w="2400" w:type="dxa"/>
            <w:shd w:fill="D9EAF7"/>
          </w:tcPr>
          <w:p>
            <w:r>
              <w:t xml:space="preserve">优先检查</w:t>
            </w:r>
          </w:p>
        </w:tc>
      </w:tr>
      <w:tr>
        <w:tc>
          <w:tcPr>
            <w:tcW w:w="2400" w:type="dxa"/>
          </w:tcPr>
          <w:p>
            <w:r>
              <w:t xml:space="preserve">无检测结果/位置跳变</w:t>
            </w:r>
          </w:p>
        </w:tc>
        <w:tc>
          <w:tcPr>
            <w:tcW w:w="2400" w:type="dxa"/>
          </w:tcPr>
          <w:p>
            <w:r>
              <w:t xml:space="preserve">RGB/对齐深度、camera_info、时间戳、静态 TF、遮挡与深度滤波</w:t>
            </w:r>
          </w:p>
        </w:tc>
      </w:tr>
      <w:tr>
        <w:tc>
          <w:tcPr>
            <w:tcW w:w="2400" w:type="dxa"/>
          </w:tcPr>
          <w:p>
            <w:r>
              <w:t xml:space="preserve">预测落点持续偏离</w:t>
            </w:r>
          </w:p>
        </w:tc>
        <w:tc>
          <w:tcPr>
            <w:tcW w:w="2400" w:type="dxa"/>
          </w:tcPr>
          <w:p>
            <w:r>
              <w:t xml:space="preserve">皮带方向正负、STM32 速度单位/状态、视觉速度和延迟、标定文件、相机外参</w:t>
            </w:r>
          </w:p>
        </w:tc>
      </w:tr>
      <w:tr>
        <w:tc>
          <w:tcPr>
            <w:tcW w:w="2400" w:type="dxa"/>
          </w:tcPr>
          <w:p>
            <w:r>
              <w:t xml:space="preserve">IK/MoveIt 规划失败</w:t>
            </w:r>
          </w:p>
        </w:tc>
        <w:tc>
          <w:tcPr>
            <w:tcW w:w="2400" w:type="dxa"/>
          </w:tcPr>
          <w:p>
            <w:r>
              <w:t xml:space="preserve">目标是否在工作空间、当前关节状态、姿态候选、碰撞场景、控制器 action 状态</w:t>
            </w:r>
          </w:p>
        </w:tc>
      </w:tr>
      <w:tr>
        <w:tc>
          <w:tcPr>
            <w:tcW w:w="2400" w:type="dxa"/>
          </w:tcPr>
          <w:p>
            <w:r>
              <w:t xml:space="preserve">抓空/夹不住</w:t>
            </w:r>
          </w:p>
        </w:tc>
        <w:tc>
          <w:tcPr>
            <w:tcW w:w="2400" w:type="dxa"/>
          </w:tcPr>
          <w:p>
            <w:r>
              <w:t xml:space="preserve">目标深度/表面高度、夹爪 TCP 偏移、物体直径、闭合角反馈及夹持点安全高度</w:t>
            </w:r>
          </w:p>
        </w:tc>
      </w:tr>
      <w:tr>
        <w:tc>
          <w:tcPr>
            <w:tcW w:w="2400" w:type="dxa"/>
          </w:tcPr>
          <w:p>
            <w:r>
              <w:t xml:space="preserve">GraspNet 无结果</w:t>
            </w:r>
          </w:p>
        </w:tc>
        <w:tc>
          <w:tcPr>
            <w:tcW w:w="2400" w:type="dxa"/>
          </w:tcPr>
          <w:p>
            <w:r>
              <w:t xml:space="preserve">权重/设备、D455 对齐深度和内参、点云有效点数、请求/结果话题、服务日志</w:t>
            </w:r>
          </w:p>
        </w:tc>
      </w:tr>
      <w:tr>
        <w:tc>
          <w:tcPr>
            <w:tcW w:w="2400" w:type="dxa"/>
          </w:tcPr>
          <w:p>
            <w:r>
              <w:t xml:space="preserve">传送带状态异常</w:t>
            </w:r>
          </w:p>
        </w:tc>
        <w:tc>
          <w:tcPr>
            <w:tcW w:w="2400" w:type="dxa"/>
          </w:tcPr>
          <w:p>
            <w:r>
              <w:t xml:space="preserve">CH340 端口权限、STM32 串口状态、继电器连接及 /conveyor_status</w:t>
            </w:r>
          </w:p>
        </w:tc>
      </w:tr>
    </w:tbl>
    <w:p>
      <w:pPr>
        <w:pStyle w:val="Heading1"/>
      </w:pPr>
      <w:r>
        <w:t xml:space="preserve">10. 已知限制与维护建议</w:t>
      </w:r>
    </w:p>
    <w:p>
      <w:r>
        <w:t xml:space="preserve">• 多个绝对路径指向当前开发机（/home/lxf/...），重部署前应改为 ROS package share、环境变量或 YAML 参数。</w:t>
      </w:r>
    </w:p>
    <w:p>
      <w:r>
        <w:t xml:space="preserve">• 眼在手外变换、悬停姿态、TCP 夹持点偏移、最小抓取高度均为现场安全关键参数；源码示例或历史标定不可未经核验复用。</w:t>
      </w:r>
    </w:p>
    <w:p>
      <w:r>
        <w:t xml:space="preserve">• README 描述的根目录动作节点与包内周期服务并存，GUI 自动启动和 launch 管线可能存在多入口；部署时明确单一动作控制器并确认话题命名空间。</w:t>
      </w:r>
    </w:p>
    <w:p>
      <w:r>
        <w:t xml:space="preserve">• 动态预测使用常速度模型，对皮带加减速、物体打滑、检测时间戳错误及网络时延突变的适应能力有限；建议监测预测残差并设置最大外推时长。</w:t>
      </w:r>
    </w:p>
    <w:p>
      <w:r>
        <w:t xml:space="preserve">• 现有单测集中于标定与速度预测，尚未看到覆盖硬件动作状态机/抓取执行全路径的自动化测试；应通过仿真和实机测试补足并持续保存量化结果。</w:t>
      </w:r>
    </w:p>
    <w:p>
      <w:r>
        <w:t xml:space="preserve">主要参考：工作空间 README.md、start_graspnet_pipeline.sh、test_graspnet_hardware.sh、auto_sorting_action.py、graspnet_service_node.py、velocity_predictor.py、conveyor_calib.py、agx_arm_auto_sorting/sorting_cycle_server.py 与 tests/。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rPr>
      <w:b/>
      <w:color w:val="17365D"/>
      <w:sz w:val="36"/>
      <w:rFonts w:eastAsia="Microsoft YaHei"/>
    </w:rPr>
    <w:pPr>
      <w:jc w:val="center"/>
      <w:spacing w:after="300"/>
    </w:pPr>
  </w:style>
  <w:style w:type="paragraph" w:styleId="Heading1">
    <w:name w:val="heading 1"/>
    <w:basedOn w:val="Normal"/>
    <w:next w:val="Normal"/>
    <w:rPr>
      <w:b/>
      <w:color w:val="1F4E79"/>
      <w:sz w:val="29"/>
    </w:rPr>
    <w:pPr>
      <w:keepNext/>
      <w:spacing w:before="300" w:after="140"/>
    </w:pPr>
  </w:style>
  <w:style w:type="paragraph" w:styleId="Heading2">
    <w:name w:val="heading 2"/>
    <w:basedOn w:val="Normal"/>
    <w:rPr>
      <w:b/>
      <w:color w:val="2F5597"/>
      <w:sz w:val="24"/>
    </w:rPr>
    <w:pPr>
      <w:keepNext/>
      <w:spacing w:before="220" w:after="100"/>
    </w:pPr>
  </w:style>
  <w:style w:type="paragraph" w:styleId="Code">
    <w:name w:val="Code"/>
    <w:rPr>
      <w:rFonts w:ascii="Consolas" w:eastAsia="Microsoft YaHei"/>
      <w:sz w:val="18"/>
    </w:rPr>
    <w:pPr>
      <w:ind w:left="300"/>
      <w:shd w:fill="F2F2F2"/>
      <w:spacing w:after="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