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松灵 Piper 机械臂动态抓取系统
测试文档</w:t>
      </w:r>
    </w:p>
    <w:p>
      <w:r>
        <w:t xml:space="preserve">版本：V1.0　|　整理日期：2026-09-28　|　依据：工作空间源码、配置与现有测试脚本</w:t>
      </w:r>
    </w:p>
    <w:p>
      <w:r>
        <w:t xml:space="preserve">本文中的验收步骤为建议测试方案；除明确标注为仓库现有测试覆盖的部分外，不代表已在本次文档整理中执行或通过。</w:t>
      </w:r>
    </w:p>
    <w:p>
      <w:pPr>
        <w:pStyle w:val="Heading1"/>
      </w:pPr>
      <w:r>
        <w:t xml:space="preserve">8. 测试文档</w:t>
      </w:r>
    </w:p>
    <w:p>
      <w:r>
        <w:t xml:space="preserve">测试目标：证明几何/预测模块、ROS 接口、MoveIt 规划、夹爪执行、感知推理和移动物体抓取可分别工作并最终闭环。每次记录软件版本、配置/标定文件版本、测试物体、皮带速度、运行次数、成功/失败原因与日志。</w:t>
      </w:r>
    </w:p>
    <w:p>
      <w:pPr>
        <w:pStyle w:val="Heading2"/>
      </w:pPr>
      <w:r>
        <w:t xml:space="preserve">8.1 仓库已有测试与工具</w:t>
      </w:r>
    </w:p>
    <w:p>
      <w:r>
        <w:t xml:space="preserve">• tests/test_conveyor_calib.py：方向拟合角度、180°二义性、点数不足异常、视觉速度估计。</w:t>
      </w:r>
    </w:p>
    <w:p>
      <w:r>
        <w:t xml:space="preserve">• tests/test_velocity_predictor.py：速度方向投影、少样本处理、延迟预测、视觉速度恢复与融合。</w:t>
      </w:r>
    </w:p>
    <w:p>
      <w:r>
        <w:t xml:space="preserve">• test_graspnet_hardware.sh：检查 RealSense USB、CAN、串口继电器、ROS topics、GraspNet 服务、MoveIt 节点，并打印手动调用提示；它只检查就绪，不执行自动抓取。</w:t>
      </w:r>
    </w:p>
    <w:p>
      <w:r>
        <w:t xml:space="preserve">• offline_ik_multi_seed_test.py、offline_verify_jointspace_multiwaypoint.py：离线 IK 可达率/关节连续性分析，不驱动真机；结果依赖 URDF、标定文件、IK 环境与随机种子。</w:t>
      </w:r>
    </w:p>
    <w:p>
      <w:r>
        <w:t xml:space="preserve">• tests/test_conveyor_calib.py 与 tests/test_velocity_predictor.py 是仓库明确可见的 pytest 单测；本次文档整理未运行测试。</w:t>
      </w:r>
    </w:p>
    <w:p>
      <w:pPr>
        <w:pStyle w:val="Heading2"/>
      </w:pPr>
      <w:r>
        <w:t xml:space="preserve">8.2 建议测试用例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r>
        <w:tc>
          <w:tcPr>
            <w:tcW w:w="2400" w:type="dxa"/>
            <w:shd w:fill="D9EAF7"/>
          </w:tcPr>
          <w:p>
            <w:r>
              <w:t xml:space="preserve">ID / 级别</w:t>
            </w:r>
          </w:p>
        </w:tc>
        <w:tc>
          <w:tcPr>
            <w:tcW w:w="2400" w:type="dxa"/>
            <w:shd w:fill="D9EAF7"/>
          </w:tcPr>
          <w:p>
            <w:r>
              <w:t xml:space="preserve">测试内容与步骤</w:t>
            </w:r>
          </w:p>
        </w:tc>
        <w:tc>
          <w:tcPr>
            <w:tcW w:w="2400" w:type="dxa"/>
            <w:shd w:fill="D9EAF7"/>
          </w:tcPr>
          <w:p>
            <w:r>
              <w:t xml:space="preserve">通过标准/记录</w:t>
            </w:r>
          </w:p>
        </w:tc>
      </w:tr>
      <w:tr>
        <w:tc>
          <w:tcPr>
            <w:tcW w:w="2400" w:type="dxa"/>
          </w:tcPr>
          <w:p>
            <w:r>
              <w:t xml:space="preserve">UT-01 单元</w:t>
            </w:r>
          </w:p>
        </w:tc>
        <w:tc>
          <w:tcPr>
            <w:tcW w:w="2400" w:type="dxa"/>
          </w:tcPr>
          <w:p>
            <w:r>
              <w:t xml:space="preserve">对传送带方向拟合使用已知角度合成轨迹；少于3点输入应抛 ValueError</w:t>
            </w:r>
          </w:p>
        </w:tc>
        <w:tc>
          <w:tcPr>
            <w:tcW w:w="2400" w:type="dxa"/>
          </w:tcPr>
          <w:p>
            <w:r>
              <w:t xml:space="preserve">角度误差满足现有断言 2°；方向单位长度；异常正确</w:t>
            </w:r>
          </w:p>
        </w:tc>
      </w:tr>
      <w:tr>
        <w:tc>
          <w:tcPr>
            <w:tcW w:w="2400" w:type="dxa"/>
          </w:tcPr>
          <w:p>
            <w:r>
              <w:t xml:space="preserve">UT-02 单元</w:t>
            </w:r>
          </w:p>
        </w:tc>
        <w:tc>
          <w:tcPr>
            <w:tcW w:w="2400" w:type="dxa"/>
          </w:tcPr>
          <w:p>
            <w:r>
              <w:t xml:space="preserve">验证恒速预测、少样本、STM32/视觉融合</w:t>
            </w:r>
          </w:p>
        </w:tc>
        <w:tc>
          <w:tcPr>
            <w:tcW w:w="2400" w:type="dxa"/>
          </w:tcPr>
          <w:p>
            <w:r>
              <w:t xml:space="preserve">与解析期望一致；缺失视觉速度时回退前馈</w:t>
            </w:r>
          </w:p>
        </w:tc>
      </w:tr>
      <w:tr>
        <w:tc>
          <w:tcPr>
            <w:tcW w:w="2400" w:type="dxa"/>
          </w:tcPr>
          <w:p>
            <w:r>
              <w:t xml:space="preserve">UT-03 单元</w:t>
            </w:r>
          </w:p>
        </w:tc>
        <w:tc>
          <w:tcPr>
            <w:tcW w:w="2400" w:type="dxa"/>
          </w:tcPr>
          <w:p>
            <w:r>
              <w:t xml:space="preserve">检查速度负值钳位、零时间跨度、方向归一化边界</w:t>
            </w:r>
          </w:p>
        </w:tc>
        <w:tc>
          <w:tcPr>
            <w:tcW w:w="2400" w:type="dxa"/>
          </w:tcPr>
          <w:p>
            <w:r>
              <w:t xml:space="preserve">输出有限且无 NaN；边界行为记录</w:t>
            </w:r>
          </w:p>
        </w:tc>
      </w:tr>
      <w:tr>
        <w:tc>
          <w:tcPr>
            <w:tcW w:w="2400" w:type="dxa"/>
          </w:tcPr>
          <w:p>
            <w:r>
              <w:t xml:space="preserve">IT-01 接口</w:t>
            </w:r>
          </w:p>
        </w:tc>
        <w:tc>
          <w:tcPr>
            <w:tcW w:w="2400" w:type="dxa"/>
          </w:tcPr>
          <w:p>
            <w:r>
              <w:t xml:space="preserve">启动 ROS 后核对 camera image/depth/info、/detection_info、/conveyor_status</w:t>
            </w:r>
          </w:p>
        </w:tc>
        <w:tc>
          <w:tcPr>
            <w:tcW w:w="2400" w:type="dxa"/>
          </w:tcPr>
          <w:p>
            <w:r>
              <w:t xml:space="preserve">话题类型/发布者数量正确，时间戳递增</w:t>
            </w:r>
          </w:p>
        </w:tc>
      </w:tr>
      <w:tr>
        <w:tc>
          <w:tcPr>
            <w:tcW w:w="2400" w:type="dxa"/>
          </w:tcPr>
          <w:p>
            <w:r>
              <w:t xml:space="preserve">IT-02 接口</w:t>
            </w:r>
          </w:p>
        </w:tc>
        <w:tc>
          <w:tcPr>
            <w:tcW w:w="2400" w:type="dxa"/>
          </w:tcPr>
          <w:p>
            <w:r>
              <w:t xml:space="preserve">检查 /graspnet/req/result 请求闭环，先用合法帧后用空/无效深度帧</w:t>
            </w:r>
          </w:p>
        </w:tc>
        <w:tc>
          <w:tcPr>
            <w:tcW w:w="2400" w:type="dxa"/>
          </w:tcPr>
          <w:p>
            <w:r>
              <w:t xml:space="preserve">有效请求返回候选或可解释失败；节点不崩溃，无请求则无假结果</w:t>
            </w:r>
          </w:p>
        </w:tc>
      </w:tr>
      <w:tr>
        <w:tc>
          <w:tcPr>
            <w:tcW w:w="2400" w:type="dxa"/>
          </w:tcPr>
          <w:p>
            <w:r>
              <w:t xml:space="preserve">IT-03 规划</w:t>
            </w:r>
          </w:p>
        </w:tc>
        <w:tc>
          <w:tcPr>
            <w:tcW w:w="2400" w:type="dxa"/>
          </w:tcPr>
          <w:p>
            <w:r>
              <w:t xml:space="preserve">在仿真 MoveIt 中发送待机、预抓取、抓取、抬升和放置目标</w:t>
            </w:r>
          </w:p>
        </w:tc>
        <w:tc>
          <w:tcPr>
            <w:tcW w:w="2400" w:type="dxa"/>
          </w:tcPr>
          <w:p>
            <w:r>
              <w:t xml:space="preserve">动作成功返回；超工作空间目标被拒；规划场景恢复</w:t>
            </w:r>
          </w:p>
        </w:tc>
      </w:tr>
      <w:tr>
        <w:tc>
          <w:tcPr>
            <w:tcW w:w="2400" w:type="dxa"/>
          </w:tcPr>
          <w:p>
            <w:r>
              <w:t xml:space="preserve">IT-04 夹爪</w:t>
            </w:r>
          </w:p>
        </w:tc>
        <w:tc>
          <w:tcPr>
            <w:tcW w:w="2400" w:type="dxa"/>
          </w:tcPr>
          <w:p>
            <w:r>
              <w:t xml:space="preserve">在无物条件下开合，检查轨迹 action 与 joint_states</w:t>
            </w:r>
          </w:p>
        </w:tc>
        <w:tc>
          <w:tcPr>
            <w:tcW w:w="2400" w:type="dxa"/>
          </w:tcPr>
          <w:p>
            <w:r>
              <w:t xml:space="preserve">夹爪目标到达，左右关节方向正确，反馈误差符合配置容差</w:t>
            </w:r>
          </w:p>
        </w:tc>
      </w:tr>
      <w:tr>
        <w:tc>
          <w:tcPr>
            <w:tcW w:w="2400" w:type="dxa"/>
          </w:tcPr>
          <w:p>
            <w:r>
              <w:t xml:space="preserve">ST-01 静态抓取</w:t>
            </w:r>
          </w:p>
        </w:tc>
        <w:tc>
          <w:tcPr>
            <w:tcW w:w="2400" w:type="dxa"/>
          </w:tcPr>
          <w:p>
            <w:r>
              <w:t xml:space="preserve">固定目标、低速、轻质软质目标，重复 20 次</w:t>
            </w:r>
          </w:p>
        </w:tc>
        <w:tc>
          <w:tcPr>
            <w:tcW w:w="2400" w:type="dxa"/>
          </w:tcPr>
          <w:p>
            <w:r>
              <w:t xml:space="preserve">记录抓取/放置成功率、定位误差、碰撞/急停；目标建议≥18/20，失败原因可追溯</w:t>
            </w:r>
          </w:p>
        </w:tc>
      </w:tr>
      <w:tr>
        <w:tc>
          <w:tcPr>
            <w:tcW w:w="2400" w:type="dxa"/>
          </w:tcPr>
          <w:p>
            <w:r>
              <w:t xml:space="preserve">ST-02 动态抓取</w:t>
            </w:r>
          </w:p>
        </w:tc>
        <w:tc>
          <w:tcPr>
            <w:tcW w:w="2400" w:type="dxa"/>
          </w:tcPr>
          <w:p>
            <w:r>
              <w:t xml:space="preserve">至少 3 个皮带速度档，各档重复 20 次，覆盖视野前/中/后位置</w:t>
            </w:r>
          </w:p>
        </w:tc>
        <w:tc>
          <w:tcPr>
            <w:tcW w:w="2400" w:type="dxa"/>
          </w:tcPr>
          <w:p>
            <w:r>
              <w:t xml:space="preserve">统计成功率、预测误差、动作耗时；项目阈值由团队确认并记录</w:t>
            </w:r>
          </w:p>
        </w:tc>
      </w:tr>
      <w:tr>
        <w:tc>
          <w:tcPr>
            <w:tcW w:w="2400" w:type="dxa"/>
          </w:tcPr>
          <w:p>
            <w:r>
              <w:t xml:space="preserve">ST-03 变化场景</w:t>
            </w:r>
          </w:p>
        </w:tc>
        <w:tc>
          <w:tcPr>
            <w:tcW w:w="2400" w:type="dxa"/>
          </w:tcPr>
          <w:p>
            <w:r>
              <w:t xml:space="preserve">改变目标直径/类别、摆放姿态、光照，做遮挡与深度无效注入</w:t>
            </w:r>
          </w:p>
        </w:tc>
        <w:tc>
          <w:tcPr>
            <w:tcW w:w="2400" w:type="dxa"/>
          </w:tcPr>
          <w:p>
            <w:r>
              <w:t xml:space="preserve">无效感知不得盲目下探；异常能停止/跳过并返回错误原因</w:t>
            </w:r>
          </w:p>
        </w:tc>
      </w:tr>
      <w:tr>
        <w:tc>
          <w:tcPr>
            <w:tcW w:w="2400" w:type="dxa"/>
          </w:tcPr>
          <w:p>
            <w:r>
              <w:t xml:space="preserve">ST-04 GraspNet</w:t>
            </w:r>
          </w:p>
        </w:tc>
        <w:tc>
          <w:tcPr>
            <w:tcW w:w="2400" w:type="dxa"/>
          </w:tcPr>
          <w:p>
            <w:r>
              <w:t xml:space="preserve">不同形状目标获取候选并执行若干次抓放</w:t>
            </w:r>
          </w:p>
        </w:tc>
        <w:tc>
          <w:tcPr>
            <w:tcW w:w="2400" w:type="dxa"/>
          </w:tcPr>
          <w:p>
            <w:r>
              <w:t xml:space="preserve">记录候选数、得分、位姿与夹持宽度；失败无节点崩溃</w:t>
            </w:r>
          </w:p>
        </w:tc>
      </w:tr>
      <w:tr>
        <w:tc>
          <w:tcPr>
            <w:tcW w:w="2400" w:type="dxa"/>
          </w:tcPr>
          <w:p>
            <w:r>
              <w:t xml:space="preserve">REC-01 故障恢复</w:t>
            </w:r>
          </w:p>
        </w:tc>
        <w:tc>
          <w:tcPr>
            <w:tcW w:w="2400" w:type="dxa"/>
          </w:tcPr>
          <w:p>
            <w:r>
              <w:t xml:space="preserve">断开相机、GraspNet、夹爪反馈或规划服务，观察动作中止与复位</w:t>
            </w:r>
          </w:p>
        </w:tc>
        <w:tc>
          <w:tcPr>
            <w:tcW w:w="2400" w:type="dxa"/>
          </w:tcPr>
          <w:p>
            <w:r>
              <w:t xml:space="preserve">停止继续下探；场景碰撞矩阵恢复；系统回到可诊断状态</w:t>
            </w:r>
          </w:p>
        </w:tc>
      </w:tr>
      <w:tr>
        <w:tc>
          <w:tcPr>
            <w:tcW w:w="2400" w:type="dxa"/>
          </w:tcPr>
          <w:p>
            <w:r>
              <w:t xml:space="preserve">REG-01 连续运行</w:t>
            </w:r>
          </w:p>
        </w:tc>
        <w:tc>
          <w:tcPr>
            <w:tcW w:w="2400" w:type="dxa"/>
          </w:tcPr>
          <w:p>
            <w:r>
              <w:t xml:space="preserve">自动分拣连续运行 30 分钟或 100 循环</w:t>
            </w:r>
          </w:p>
        </w:tc>
        <w:tc>
          <w:tcPr>
            <w:tcW w:w="2400" w:type="dxa"/>
          </w:tcPr>
          <w:p>
            <w:r>
              <w:t xml:space="preserve">无节点泄漏/失控/重复抢控；统计漏检、误检、失败、超时及恢复</w:t>
            </w:r>
          </w:p>
        </w:tc>
      </w:tr>
    </w:tbl>
    <w:p>
      <w:pPr>
        <w:pStyle w:val="Heading2"/>
      </w:pPr>
      <w:r>
        <w:t xml:space="preserve">8.3 实机安全测试步骤</w:t>
      </w:r>
    </w:p>
    <w:p>
      <w:r>
        <w:t xml:space="preserve">1) 清空工作区并确认急停有效；确保机械臂周边、传送带和料框无障碍。</w:t>
      </w:r>
    </w:p>
    <w:p>
      <w:r>
        <w:t xml:space="preserve">2) 运行 bash test_graspnet_hardware.sh（节点依赖按脚本提示）；逐项确认设备与 ROS 接口。</w:t>
      </w:r>
    </w:p>
    <w:p>
      <w:r>
        <w:t xml:space="preserve">3) 先关闭传送带，以低速度/低负载验证待机与空抓放轨迹；确认 TCP、夹爪方向与碰撞模型。</w:t>
      </w:r>
    </w:p>
    <w:p>
      <w:r>
        <w:t xml:space="preserve">4) 固定目标执行静态抓取，校准相机到 base_link 变换和夹持高度；每次修改标定后留存参数快照。</w:t>
      </w:r>
    </w:p>
    <w:p>
      <w:r>
        <w:t xml:space="preserve">5) 以最低可控皮带速度测试动态预测，随后逐档提高速度；出现抓取漂移、碰撞或延迟异常立即停止。</w:t>
      </w:r>
    </w:p>
    <w:p>
      <w:r>
        <w:t xml:space="preserve">6) 注入遮挡/断流/超时等故障，确认节点报告失败且机械臂不继续执行危险下降。</w:t>
      </w:r>
    </w:p>
    <w:p>
      <w:r>
        <w:t xml:space="preserve">7) 填写结果表：测试 ID、设备/软件版本、参数、速度、样本数、成功数、误差、异常日志、结论。</w:t>
      </w:r>
    </w:p>
    <w:p>
      <w:pPr>
        <w:pStyle w:val="Heading1"/>
      </w:pPr>
      <w:r>
        <w:t xml:space="preserve">9. 验收记录模板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r>
        <w:tc>
          <w:tcPr>
            <w:tcW w:w="2400" w:type="dxa"/>
            <w:shd w:fill="D9EAF7"/>
          </w:tcPr>
          <w:p>
            <w:r>
              <w:t xml:space="preserve">字段</w:t>
            </w:r>
          </w:p>
        </w:tc>
        <w:tc>
          <w:tcPr>
            <w:tcW w:w="2400" w:type="dxa"/>
            <w:shd w:fill="D9EAF7"/>
          </w:tcPr>
          <w:p>
            <w:r>
              <w:t xml:space="preserve">填写内容</w:t>
            </w:r>
          </w:p>
        </w:tc>
      </w:tr>
      <w:tr>
        <w:tc>
          <w:tcPr>
            <w:tcW w:w="2400" w:type="dxa"/>
          </w:tcPr>
          <w:p>
            <w:r>
              <w:t xml:space="preserve">日期/人员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代码版本 / ROS 发行版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机械臂/夹爪/相机序列号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手眼与传送带标定文件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皮带方向/各档速度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测试 ID 与目标类别/直径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样本数 / 成功数 / 成功率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预测位置误差 / 抓取耗时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故障与日志路径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结论 / 遗留问题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eastAsia="Microsoft YaHei"/>
        <w:sz w:val="21"/>
      </w:rPr>
    </w:rPrDefault>
  </w:docDefaults>
  <w:style w:type="paragraph" w:default="1" w:styleId="Normal">
    <w:name w:val="Normal"/>
    <w:pPr>
      <w:spacing w:after="120" w:line="300" w:lineRule="auto"/>
    </w:pPr>
  </w:style>
  <w:style w:type="paragraph" w:styleId="Title">
    <w:name w:val="Title"/>
    <w:rPr>
      <w:b/>
      <w:color w:val="17365D"/>
      <w:sz w:val="36"/>
      <w:rFonts w:eastAsia="Microsoft YaHei"/>
    </w:rPr>
    <w:pPr>
      <w:jc w:val="center"/>
      <w:spacing w:after="300"/>
    </w:pPr>
  </w:style>
  <w:style w:type="paragraph" w:styleId="Heading1">
    <w:name w:val="heading 1"/>
    <w:basedOn w:val="Normal"/>
    <w:next w:val="Normal"/>
    <w:rPr>
      <w:b/>
      <w:color w:val="1F4E79"/>
      <w:sz w:val="29"/>
    </w:rPr>
    <w:pPr>
      <w:keepNext/>
      <w:spacing w:before="300" w:after="140"/>
    </w:pPr>
  </w:style>
  <w:style w:type="paragraph" w:styleId="Heading2">
    <w:name w:val="heading 2"/>
    <w:basedOn w:val="Normal"/>
    <w:rPr>
      <w:b/>
      <w:color w:val="2F5597"/>
      <w:sz w:val="24"/>
    </w:rPr>
    <w:pPr>
      <w:keepNext/>
      <w:spacing w:before="220" w:after="100"/>
    </w:pPr>
  </w:style>
  <w:style w:type="paragraph" w:styleId="Code">
    <w:name w:val="Code"/>
    <w:rPr>
      <w:rFonts w:ascii="Consolas" w:eastAsia="Microsoft YaHei"/>
      <w:sz w:val="18"/>
    </w:rPr>
    <w:pPr>
      <w:ind w:left="300"/>
      <w:shd w:fill="F2F2F2"/>
      <w:spacing w:after="10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