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4.png" ContentType="image/png"/>
  <Override PartName="/word/media/rId85.png" ContentType="image/png"/>
  <Override PartName="/word/media/rId88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НовичковМаксим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приобретение навыков написания программ с использованием подпрограмм, знакомство с методами отладки при помощи GDB и его основными возможностями.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mkdir создаем директорию, в которой будем создавать файлы с программами для лабораторной работы №9. Переходим в созданный каталог с помощью утилиты cd. С помощью утилиты touch создаем файл lab09-1.asm (рис. [??]).</w:t>
      </w:r>
    </w:p>
    <w:p>
      <w:pPr>
        <w:pStyle w:val="CaptionedFigure"/>
      </w:pPr>
      <w:r>
        <w:drawing>
          <wp:inline>
            <wp:extent cx="3733800" cy="791640"/>
            <wp:effectExtent b="0" l="0" r="0" t="0"/>
            <wp:docPr descr="Создание необходимой директории и файла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36-0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необходимой директории и файла</w:t>
      </w:r>
    </w:p>
    <w:p>
      <w:pPr>
        <w:numPr>
          <w:ilvl w:val="0"/>
          <w:numId w:val="1002"/>
        </w:numPr>
        <w:pStyle w:val="Compact"/>
      </w:pPr>
      <w:r>
        <w:t xml:space="preserve">Внимательно изучив текст программы из листинга 9.1, вводим его в файл lab09-1.asm (рис. [??]).</w:t>
      </w:r>
    </w:p>
    <w:p>
      <w:pPr>
        <w:pStyle w:val="CaptionedFigure"/>
      </w:pPr>
      <w:r>
        <w:drawing>
          <wp:inline>
            <wp:extent cx="3733800" cy="4349987"/>
            <wp:effectExtent b="0" l="0" r="0" t="0"/>
            <wp:docPr descr="Редактирование файла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2-24-1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.</w:t>
      </w:r>
    </w:p>
    <w:p>
      <w:pPr>
        <w:pStyle w:val="CaptionedFigure"/>
      </w:pPr>
      <w:r>
        <w:drawing>
          <wp:inline>
            <wp:extent cx="3733800" cy="675523"/>
            <wp:effectExtent b="0" l="0" r="0" t="0"/>
            <wp:docPr descr="Запуск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8%2017-41-3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Изменим текст программы, добавив подпрограмму _subcalcul в подпрограмму _calcul, для вычисления выражения f(g(x)), где x вводится с клавиатуры, f(x) = 2x + 7, g(x) = 3x − 1 (рис. [??]).</w:t>
      </w:r>
    </w:p>
    <w:p>
      <w:pPr>
        <w:pStyle w:val="CaptionedFigure"/>
      </w:pPr>
      <w:r>
        <w:drawing>
          <wp:inline>
            <wp:extent cx="3733800" cy="4369471"/>
            <wp:effectExtent b="0" l="0" r="0" t="0"/>
            <wp:docPr descr="Редактирование файла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1-48-3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9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[??]).</w:t>
      </w:r>
    </w:p>
    <w:p>
      <w:pPr>
        <w:pStyle w:val="CaptionedFigure"/>
      </w:pPr>
      <w:r>
        <w:drawing>
          <wp:inline>
            <wp:extent cx="3733800" cy="953982"/>
            <wp:effectExtent b="0" l="0" r="0" t="0"/>
            <wp:docPr descr="Запуск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1-52-1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36"/>
    <w:bookmarkStart w:id="84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Создаем новый файл lab09-2.asm в каталоге (рис. [??]).</w:t>
      </w:r>
    </w:p>
    <w:p>
      <w:pPr>
        <w:pStyle w:val="CaptionedFigure"/>
      </w:pPr>
      <w:r>
        <w:drawing>
          <wp:inline>
            <wp:extent cx="3733800" cy="243102"/>
            <wp:effectExtent b="0" l="0" r="0" t="0"/>
            <wp:docPr descr="Создание необходимого файла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3-21-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необходимого файла</w:t>
      </w:r>
    </w:p>
    <w:p>
      <w:pPr>
        <w:pStyle w:val="BodyText"/>
      </w:pPr>
      <w:r>
        <w:t xml:space="preserve">Открываем файл и заполняем его в соответствии с листингом 9.2 (рис. [??]).</w:t>
      </w:r>
    </w:p>
    <w:p>
      <w:pPr>
        <w:pStyle w:val="CaptionedFigure"/>
      </w:pPr>
      <w:r>
        <w:drawing>
          <wp:inline>
            <wp:extent cx="3733800" cy="3269113"/>
            <wp:effectExtent b="0" l="0" r="0" t="0"/>
            <wp:docPr descr="Редактирование файла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1-54-3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Проверим работу программы, запустив ее в оболочке GDB с помощью команды run (рис. [??]).</w:t>
      </w:r>
    </w:p>
    <w:p>
      <w:pPr>
        <w:pStyle w:val="CaptionedFigure"/>
      </w:pPr>
      <w:r>
        <w:drawing>
          <wp:inline>
            <wp:extent cx="3733800" cy="3545541"/>
            <wp:effectExtent b="0" l="0" r="0" t="0"/>
            <wp:docPr descr="Проверка работы программы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1-55-5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Для более подробного анализа программы установим брейкпоинт на метку _start, с которой начинается выполнение любой ассемблерной программы, и запустим её (рис. [??]).</w:t>
      </w:r>
    </w:p>
    <w:p>
      <w:pPr>
        <w:pStyle w:val="CaptionedFigure"/>
      </w:pPr>
      <w:r>
        <w:drawing>
          <wp:inline>
            <wp:extent cx="3733800" cy="342317"/>
            <wp:effectExtent b="0" l="0" r="0" t="0"/>
            <wp:docPr descr="Запуск программы с брэйкпоинтом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1-56-5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брэйкпоинтом</w:t>
      </w:r>
    </w:p>
    <w:p>
      <w:pPr>
        <w:pStyle w:val="BodyText"/>
      </w:pPr>
      <w:r>
        <w:t xml:space="preserve">Посмотрим дисассимилированный код программы с помощью команды disassemble начиная с метки _start (рис. [??]).</w:t>
      </w:r>
    </w:p>
    <w:p>
      <w:pPr>
        <w:pStyle w:val="BodyText"/>
      </w:pPr>
      <w:r>
        <w:t xml:space="preserve">![Дисассимилированный код программы](image/Снимок экрана от 2023-12-09 21-57-46.png{#fig:010 width=70%}</w:t>
      </w:r>
    </w:p>
    <w:p>
      <w:pPr>
        <w:pStyle w:val="BodyText"/>
      </w:pPr>
      <w:r>
        <w:t xml:space="preserve">Переключимся на отображение команд с Intel’овским синтаксисом, введя команду set disassembly-flavor intel (рис. [??]).</w:t>
      </w:r>
    </w:p>
    <w:p>
      <w:pPr>
        <w:pStyle w:val="CaptionedFigure"/>
      </w:pPr>
      <w:r>
        <w:drawing>
          <wp:inline>
            <wp:extent cx="3733800" cy="2066585"/>
            <wp:effectExtent b="0" l="0" r="0" t="0"/>
            <wp:docPr descr="Синтаксис Intel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1-58-2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Синтаксис Intel</w:t>
      </w:r>
    </w:p>
    <w:p>
      <w:pPr>
        <w:pStyle w:val="BodyText"/>
      </w:pPr>
      <w:r>
        <w:t xml:space="preserve">Различия отображения синтаксиса машинных команд в режимах ATT и Intel:</w:t>
      </w:r>
    </w:p>
    <w:p>
      <w:pPr>
        <w:numPr>
          <w:ilvl w:val="0"/>
          <w:numId w:val="1003"/>
        </w:numPr>
        <w:pStyle w:val="Compact"/>
      </w:pPr>
      <w:r>
        <w:t xml:space="preserve">Порядок операндов: В ATT синтаксисе порядок операндов обратный, сначала указывается исходный операнд, а затем - результирующий операнд. В Intel синтаксисе порядок обычно прямой, результирующий операнд указывается первым, а исходный - вторым.</w:t>
      </w:r>
    </w:p>
    <w:p>
      <w:pPr>
        <w:numPr>
          <w:ilvl w:val="0"/>
          <w:numId w:val="1003"/>
        </w:numPr>
        <w:pStyle w:val="Compact"/>
      </w:pPr>
      <w:r>
        <w:t xml:space="preserve">Разделители: В ATT синтаксисе разделители операндов - запятые. В Intel синтаксисе разделители могут быть запятые или косые черты (/).</w:t>
      </w:r>
    </w:p>
    <w:p>
      <w:pPr>
        <w:numPr>
          <w:ilvl w:val="0"/>
          <w:numId w:val="1003"/>
        </w:numPr>
        <w:pStyle w:val="Compact"/>
      </w:pPr>
      <w:r>
        <w:t xml:space="preserve">Префиксы размера операндов: В ATT синтаксисе размер операнда указывается перед операндом с использованием префиксов,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(byte),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(word),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(long)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(quadword). В Intel синтаксисе размер операнда указывается после операнда с использованием суффиксов,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Знак операндов: В ATT синтаксисе операнды с позитивными значениями предваряются символом</w:t>
      </w:r>
      <w:r>
        <w:t xml:space="preserve"> </w:t>
      </w:r>
      <w:r>
        <w:t xml:space="preserve">“</w:t>
      </w:r>
      <w:r>
        <w:t xml:space="preserve">$". В Intel синтаксисе операнды с позитивными значениями могут быть указаны без символа "$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Обозначение адресов: В ATT синтаксисе адреса указываются в круглых скобках. В Intel синтаксисе адреса указываются без скобок.</w:t>
      </w:r>
    </w:p>
    <w:p>
      <w:pPr>
        <w:numPr>
          <w:ilvl w:val="0"/>
          <w:numId w:val="1003"/>
        </w:numPr>
        <w:pStyle w:val="Compact"/>
      </w:pPr>
      <w:r>
        <w:t xml:space="preserve">Обозначение регистров: В ATT синтаксисе обозначение регистра начинается с символа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. В Intel синтаксисе обозначение регистра может начинаться с символа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(например,</w:t>
      </w:r>
      <w:r>
        <w:t xml:space="preserve"> </w:t>
      </w:r>
      <w:r>
        <w:t xml:space="preserve">“</w:t>
      </w:r>
      <w:r>
        <w:t xml:space="preserve">%eax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RAX</w:t>
      </w:r>
      <w:r>
        <w:t xml:space="preserve">”</w:t>
      </w:r>
      <w:r>
        <w:t xml:space="preserve">).</w:t>
      </w:r>
    </w:p>
    <w:p>
      <w:pPr>
        <w:pStyle w:val="FirstParagraph"/>
      </w:pPr>
      <w:r>
        <w:t xml:space="preserve">Включим режим псевдографики для более удобного анализа программы (рис. [??]).</w:t>
      </w:r>
    </w:p>
    <w:p>
      <w:pPr>
        <w:pStyle w:val="CaptionedFigure"/>
      </w:pPr>
      <w:r>
        <w:drawing>
          <wp:inline>
            <wp:extent cx="3733800" cy="4632443"/>
            <wp:effectExtent b="0" l="0" r="0" t="0"/>
            <wp:docPr descr="Режим псевдографики" title="fig: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1-58-3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2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псевдографики</w:t>
      </w:r>
    </w:p>
    <w:bookmarkStart w:id="64" w:name="добавление-точек-останова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Проверим установленные точки останова с помощью команды info breakpoints (рис. [??]).</w:t>
      </w:r>
    </w:p>
    <w:p>
      <w:pPr>
        <w:pStyle w:val="CaptionedFigure"/>
      </w:pPr>
      <w:r>
        <w:drawing>
          <wp:inline>
            <wp:extent cx="3733800" cy="626562"/>
            <wp:effectExtent b="0" l="0" r="0" t="0"/>
            <wp:docPr descr="Информация о точках останова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2-01-5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точках останова</w:t>
      </w:r>
    </w:p>
    <w:p>
      <w:pPr>
        <w:pStyle w:val="BodyText"/>
      </w:pPr>
      <w:r>
        <w:t xml:space="preserve">Определим адрес предпоследней инструкции (mov ebx,0x0) и установим точку останова (рис. [??]).</w:t>
      </w:r>
    </w:p>
    <w:p>
      <w:pPr>
        <w:pStyle w:val="CaptionedFigure"/>
      </w:pPr>
      <w:r>
        <w:drawing>
          <wp:inline>
            <wp:extent cx="3733800" cy="626562"/>
            <wp:effectExtent b="0" l="0" r="0" t="0"/>
            <wp:docPr descr="Установка точки останова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2-03-3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 останова</w:t>
      </w:r>
    </w:p>
    <w:p>
      <w:pPr>
        <w:pStyle w:val="BodyText"/>
      </w:pPr>
      <w:r>
        <w:t xml:space="preserve">Посмотрим информацию о всех установленных точках останова (рис. [??]).</w:t>
      </w:r>
    </w:p>
    <w:p>
      <w:pPr>
        <w:pStyle w:val="CaptionedFigure"/>
      </w:pPr>
      <w:r>
        <w:drawing>
          <wp:inline>
            <wp:extent cx="3733800" cy="1607519"/>
            <wp:effectExtent b="0" l="0" r="0" t="0"/>
            <wp:docPr descr="Информация о точках останова" title="fig: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2-04-3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точках останова</w:t>
      </w:r>
    </w:p>
    <w:bookmarkEnd w:id="64"/>
    <w:bookmarkStart w:id="83" w:name="работа-с-данными-программы-в-gdb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Посмотрев содержимое регистров с помощью команды info registers (или i r), замечаем, что во время выполнения команд менялись регистры: ebx, ecx, edx, eax, eip (рис. [??]).</w:t>
      </w:r>
    </w:p>
    <w:p>
      <w:pPr>
        <w:pStyle w:val="CaptionedFigure"/>
      </w:pPr>
      <w:r>
        <w:drawing>
          <wp:inline>
            <wp:extent cx="3733800" cy="398693"/>
            <wp:effectExtent b="0" l="0" r="0" t="0"/>
            <wp:docPr descr="Информация о регистрах" title="fig: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2-06-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регистрах</w:t>
      </w:r>
    </w:p>
    <w:p>
      <w:pPr>
        <w:pStyle w:val="BodyText"/>
      </w:pPr>
      <w:r>
        <w:t xml:space="preserve">С помощью команды x &amp;</w:t>
      </w:r>
      <w:r>
        <w:t xml:space="preserve"> </w:t>
      </w:r>
      <w:r>
        <w:t xml:space="preserve">также можно посмотреть содержимое переменной. Посмотрим значение переменной msg1 по имени (рис. [??]).</w:t>
      </w:r>
    </w:p>
    <w:p>
      <w:pPr>
        <w:pStyle w:val="CaptionedFigure"/>
      </w:pPr>
      <w:r>
        <w:drawing>
          <wp:inline>
            <wp:extent cx="3733800" cy="544379"/>
            <wp:effectExtent b="0" l="0" r="0" t="0"/>
            <wp:docPr descr="Значение переменной" title="fig: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2-10-0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</w:t>
      </w:r>
    </w:p>
    <w:p>
      <w:pPr>
        <w:pStyle w:val="BodyText"/>
      </w:pPr>
      <w:r>
        <w:t xml:space="preserve">Изменим первый символ переменной msg1 (рис. [??]).</w:t>
      </w:r>
    </w:p>
    <w:p>
      <w:pPr>
        <w:pStyle w:val="CaptionedFigure"/>
      </w:pPr>
      <w:r>
        <w:drawing>
          <wp:inline>
            <wp:extent cx="3733800" cy="506821"/>
            <wp:effectExtent b="0" l="0" r="0" t="0"/>
            <wp:docPr descr="Изменение первого символа переменной msg1" title="fig: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2-13-4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первого символа переменной msg1</w:t>
      </w:r>
    </w:p>
    <w:p>
      <w:pPr>
        <w:pStyle w:val="BodyText"/>
      </w:pPr>
      <w:r>
        <w:t xml:space="preserve">Изменим первый символ переменной msg2 (рис. [??]).</w:t>
      </w:r>
    </w:p>
    <w:p>
      <w:pPr>
        <w:pStyle w:val="CaptionedFigure"/>
      </w:pPr>
      <w:r>
        <w:drawing>
          <wp:inline>
            <wp:extent cx="3733800" cy="373380"/>
            <wp:effectExtent b="0" l="0" r="0" t="0"/>
            <wp:docPr descr="Изменение первого символа переменной msg2" title="fig:" id="7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2-16-4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первого символа переменной msg2</w:t>
      </w:r>
    </w:p>
    <w:p>
      <w:pPr>
        <w:pStyle w:val="BodyText"/>
      </w:pPr>
      <w:r>
        <w:t xml:space="preserve">Выведем в различных форматах (в шестнадцатеричном формате, в двоичном формате и в символьном виде) значение регистра edx (рис. [??]).</w:t>
      </w:r>
    </w:p>
    <w:p>
      <w:pPr>
        <w:pStyle w:val="CaptionedFigure"/>
      </w:pPr>
      <w:r>
        <w:drawing>
          <wp:inline>
            <wp:extent cx="3733800" cy="373380"/>
            <wp:effectExtent b="0" l="0" r="0" t="0"/>
            <wp:docPr descr="Значение регистра edx" title="fig: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2-18-3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регистра edx</w:t>
      </w:r>
    </w:p>
    <w:p>
      <w:pPr>
        <w:pStyle w:val="BodyText"/>
      </w:pPr>
      <w:r>
        <w:t xml:space="preserve">Изменим регистр ebx (рис. [??]).</w:t>
      </w:r>
    </w:p>
    <w:p>
      <w:pPr>
        <w:pStyle w:val="CaptionedFigure"/>
      </w:pPr>
      <w:r>
        <w:drawing>
          <wp:inline>
            <wp:extent cx="3733800" cy="503362"/>
            <wp:effectExtent b="0" l="0" r="0" t="0"/>
            <wp:docPr descr="Изменение регистра ebx" title="fig: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2-19-3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регистра ebx</w:t>
      </w:r>
    </w:p>
    <w:p>
      <w:pPr>
        <w:pStyle w:val="BodyText"/>
      </w:pPr>
      <w:r>
        <w:t xml:space="preserve">Выводятся разные значения, так как именно команда без кавычек присваивает регистру вводимое значение.</w:t>
      </w:r>
    </w:p>
    <w:p>
      <w:pPr>
        <w:pStyle w:val="BodyText"/>
      </w:pPr>
      <w:r>
        <w:t xml:space="preserve">Завершим выполнение программы с помощью команды continue (сокращенно c) и выйдем из GDB с помощью команды quit (сокращенно q)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Завершение программы и выход из GDB</w:t>
            </w:r>
          </w:p>
        </w:tc>
      </w:tr>
    </w:tbl>
    <w:p>
      <w:pPr>
        <w:pStyle w:val="ImageCaption"/>
      </w:pPr>
      <w:r>
        <w:t xml:space="preserve">Завершение программы и выход из GDB</w:t>
      </w:r>
    </w:p>
    <w:bookmarkEnd w:id="83"/>
    <w:bookmarkEnd w:id="84"/>
    <w:bookmarkStart w:id="91" w:name="X32ff26b75a7156f968f22ae721fd8fec4b51e1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Преобразуем программу из лабораторной работы №8 (Задание №1 для самостоятельной работы), реализовав вычисление значения функции f(x) как подпрограмму.</w:t>
      </w:r>
    </w:p>
    <w:p>
      <w:pPr>
        <w:pStyle w:val="FirstParagraph"/>
      </w:pPr>
      <w:r>
        <w:t xml:space="preserve">Вставляем отредактированную программу из лабораторной работы №8 с добавлением подпрограммы (рис. [??]).</w:t>
      </w:r>
    </w:p>
    <w:p>
      <w:pPr>
        <w:pStyle w:val="CaptionedFigure"/>
      </w:pPr>
      <w:r>
        <w:drawing>
          <wp:inline>
            <wp:extent cx="3733800" cy="595152"/>
            <wp:effectExtent b="0" l="0" r="0" t="0"/>
            <wp:docPr descr="Редактирование файла" title="fig:" id="8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2-26-3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2383409"/>
            <wp:effectExtent b="0" l="0" r="0" t="0"/>
            <wp:docPr descr="Создание исполняемого файла" title="fig:" id="8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9%2022-28-1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bookmarkEnd w:id="91"/>
    <w:bookmarkEnd w:id="92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навыки написания программ с использованием подпрограмм, познакомились с методами отладки при помощи GDB и его основными возможностями.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4" Target="media/rId24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НовичковМаксим Алексеевич</dc:creator>
  <dc:language>ru-RU</dc:language>
  <cp:keywords/>
  <dcterms:created xsi:type="dcterms:W3CDTF">2023-12-09T20:41:22Z</dcterms:created>
  <dcterms:modified xsi:type="dcterms:W3CDTF">2023-12-09T20:41:22Z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