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eastAsia="Aptos"/>
          <w:color w:val="000000"/>
          <w:sz w:val="46"/>
        </w:rPr>
        <w:t>Evaluating the Incremental Value of Evidence-First Legal Retrieval: An Exploratory Cross-Model Study of SeaFlow</w:t>
      </w:r>
    </w:p>
    <w:p>
      <w:r>
        <w:rPr>
          <w:rFonts w:ascii="Aptos" w:hAnsi="Aptos" w:eastAsia="Aptos"/>
          <w:b/>
          <w:color w:val="20313A"/>
          <w:sz w:val="20"/>
        </w:rPr>
        <w:t>Working Paper — EA-01 treatment analysis completed 2026-10-12T15:09:21+00:00</w:t>
      </w:r>
    </w:p>
    <w:p>
      <w:r>
        <w:rPr>
          <w:rFonts w:ascii="Aptos" w:hAnsi="Aptos" w:eastAsia="Aptos"/>
          <w:b/>
          <w:color w:val="087E9B"/>
          <w:sz w:val="19"/>
        </w:rPr>
        <w:t>Author:</w:t>
      </w:r>
      <w:r>
        <w:rPr>
          <w:rFonts w:ascii="Aptos" w:hAnsi="Aptos" w:eastAsia="Aptos"/>
          <w:color w:val="526771"/>
          <w:sz w:val="19"/>
        </w:rPr>
        <w:t xml:space="preserve"> Peng Wang</w:t>
      </w:r>
    </w:p>
    <w:p>
      <w:pPr>
        <w:spacing w:after="160"/>
        <w:ind w:left="173" w:right="173"/>
      </w:pPr>
      <w:r>
        <w:rPr>
          <w:rFonts w:ascii="Aptos" w:hAnsi="Aptos" w:eastAsia="Aptos"/>
          <w:b/>
          <w:color w:val="20313A"/>
          <w:sz w:val="19"/>
        </w:rPr>
        <w:t>Abstract.</w:t>
      </w:r>
      <w:r>
        <w:rPr>
          <w:rFonts w:ascii="Aptos" w:hAnsi="Aptos" w:eastAsia="Aptos"/>
          <w:color w:val="20313A"/>
          <w:sz w:val="19"/>
        </w:rPr>
        <w:t xml:space="preserve"> This paper asks whether SeaFlow retrieval availability adds measured value when both experimental conditions already permit general web search. Two study-specific model comparisons cross retrieval ON and OFF for M01 and M03, with three repetitions per design cell. The design contains 48 researcher-accepted executions; 47 satisfy the strict protocol. EA-01 uses locked A1/A2 judgments in an exploratory analysis, preserving evaluator-specific outcomes and complete-component eligibility. Of the 47 strict observations, 42 per evaluator have eligible Common70 scores: three are fixed DC holds and two accepted records lack labelled scoring dimensions and weights. All 17 finite individual RAG intervals across available components include zero, with positive and negative point differences. One Study 1/M03/A1 model-by-RAG interaction is -6.67 [-12.78, -0.55], without a corresponding estimable A2 interaction. Including the accepted deviation changes three eligible component contrasts; the individual RAG intervals remain inconclusive. These results establish neither a general retrieval gain nor a true null. The analysis does not identify actual tool invocation, returned evidence, or offline performance. EA-01 remains distinct from the incomplete original S4/E4 process.</w:t>
      </w:r>
    </w:p>
    <w:p>
      <w:pPr>
        <w:spacing w:after="200"/>
      </w:pPr>
      <w:r>
        <w:rPr>
          <w:rFonts w:ascii="Aptos" w:hAnsi="Aptos" w:eastAsia="Aptos"/>
          <w:b/>
          <w:color w:val="526771"/>
          <w:sz w:val="18"/>
        </w:rPr>
        <w:t>Keywords:</w:t>
      </w:r>
      <w:r>
        <w:rPr>
          <w:rFonts w:ascii="Aptos" w:hAnsi="Aptos" w:eastAsia="Aptos"/>
          <w:color w:val="526771"/>
          <w:sz w:val="18"/>
        </w:rPr>
        <w:t xml:space="preserve"> legal agents; retrieval-augmented generation; factorial design; exploratory analysis; general web search; missing evidence; reproducibility.</w:t>
      </w:r>
    </w:p>
    <w:p>
      <w:pPr>
        <w:pStyle w:val="Heading1"/>
        <w:pageBreakBefore/>
      </w:pPr>
      <w:r>
        <w:rPr>
          <w:rFonts w:ascii="Aptos" w:hAnsi="Aptos" w:eastAsia="Aptos"/>
          <w:color w:val="064B66"/>
          <w:sz w:val="30"/>
        </w:rPr>
        <w:t>1. Methods</w:t>
      </w:r>
    </w:p>
    <w:p>
      <w:pPr>
        <w:pStyle w:val="Heading2"/>
      </w:pPr>
      <w:r>
        <w:rPr>
          <w:rFonts w:ascii="Aptos" w:hAnsi="Aptos" w:eastAsia="Aptos"/>
          <w:color w:val="087E9B"/>
          <w:sz w:val="23"/>
        </w:rPr>
        <w:t>1.1 Study rationale</w:t>
      </w:r>
    </w:p>
    <w:p>
      <w:r>
        <w:rPr>
          <w:rFonts w:ascii="Aptos" w:hAnsi="Aptos" w:eastAsia="Aptos"/>
          <w:color w:val="20313A"/>
          <w:sz w:val="20"/>
        </w:rPr>
        <w:t>Legal-agent evaluation must test not only what a system says but how it identifies authoritative material, handles conflicting sources, and responds to evidentiary gaps. This experiment uses a demanding web-enabled baseline: both RAG conditions allow ordinary web search and page fetching. The question is whether adding SeaFlow retrieval availability changes measured legal-analysis outcomes beyond those existing capabilities. It is an availability contrast; it does not compare a web-enabled agent with a search-free system.</w:t>
      </w:r>
    </w:p>
    <w:p>
      <w:r>
        <w:rPr>
          <w:rFonts w:ascii="Aptos" w:hAnsi="Aptos" w:eastAsia="Aptos"/>
          <w:color w:val="20313A"/>
          <w:sz w:val="20"/>
        </w:rPr>
        <w:t>The fixed design crosses two study-specific model comparisons with retrieval ON and OFF for cases M01 and M03. It supports separate evaluator-level estimates of the Common70 and Specific30 components, within-condition model comparisons, and model-by-RAG interactions where the locked eligibility and variance rules permit. The goal is to estimate what these fixed observations show while preserving missing outcomes, evaluator differences, and the boundary between exploratory A-only measures and fully adjudicated scores. No positive RAG effect is presumed. [S02-S04, S06; EA-01 v1.3/v1.4]</w:t>
      </w:r>
    </w:p>
    <w:p>
      <w:pPr>
        <w:pStyle w:val="Heading2"/>
      </w:pPr>
      <w:r>
        <w:rPr>
          <w:rFonts w:ascii="Aptos" w:hAnsi="Aptos" w:eastAsia="Aptos"/>
          <w:color w:val="087E9B"/>
          <w:sz w:val="23"/>
        </w:rPr>
        <w:t>1.2 Design and experimental units</w:t>
      </w:r>
    </w:p>
    <w:p>
      <w:r>
        <w:rPr>
          <w:rFonts w:ascii="Aptos" w:hAnsi="Aptos" w:eastAsia="Aptos"/>
          <w:color w:val="20313A"/>
          <w:sz w:val="20"/>
        </w:rPr>
        <w:t>Study 1 crosses the frozen user-selectable DS_V4_1_FLASH_MAX and GPT_6_LUNA_MAX conditions with RAG ON/OFF. Study 2 crosses DS_V4_1_FLASH_MAX and GPT_6_SOL_HIGH with the same retrieval-availability factor. The two studies have different comparison models and retain separate study identities. Each includes M01 and M03, with three repetitions for each model–retrieval–case combination. The design therefore specifies 2 studies × 2 model conditions × 2 retrieval conditions × 2 cases × 3 repetitions = 48 observations. M02 is a deferred system-capability task outside the primary factorial set. Historical Study 0 calibration is also outside that set. These are design definitions; treatment assignments linking blinded evaluator records to cells are excluded from this paper's intake. [S03]</w:t>
      </w:r>
    </w:p>
    <w:p>
      <w:pPr>
        <w:keepNext/>
        <w:spacing w:after="20"/>
        <w:jc w:val="center"/>
      </w:pPr>
      <w:r>
        <w:drawing>
          <wp:inline xmlns:a="http://schemas.openxmlformats.org/drawingml/2006/main" xmlns:pic="http://schemas.openxmlformats.org/drawingml/2006/picture">
            <wp:extent cx="5852160" cy="2647406"/>
            <wp:docPr id="1" name="Picture 1" descr="The two studies cross their model conditions with shared RAG OFF and RAG ON conditions."/>
            <wp:cNvGraphicFramePr>
              <a:graphicFrameLocks noChangeAspect="1"/>
            </wp:cNvGraphicFramePr>
            <a:graphic>
              <a:graphicData uri="http://schemas.openxmlformats.org/drawingml/2006/picture">
                <pic:pic>
                  <pic:nvPicPr>
                    <pic:cNvPr id="0" name="figure_1_design.png"/>
                    <pic:cNvPicPr/>
                  </pic:nvPicPr>
                  <pic:blipFill>
                    <a:blip r:embed="rId10"/>
                    <a:stretch>
                      <a:fillRect/>
                    </a:stretch>
                  </pic:blipFill>
                  <pic:spPr>
                    <a:xfrm>
                      <a:off x="0" y="0"/>
                      <a:ext cx="5852160" cy="2647406"/>
                    </a:xfrm>
                    <a:prstGeom prst="rect"/>
                  </pic:spPr>
                </pic:pic>
              </a:graphicData>
            </a:graphic>
          </wp:inline>
        </w:drawing>
      </w:r>
    </w:p>
    <w:p>
      <w:pPr>
        <w:keepLines/>
        <w:spacing w:after="140"/>
        <w:jc w:val="center"/>
      </w:pPr>
      <w:r>
        <w:rPr>
          <w:rFonts w:ascii="Aptos" w:hAnsi="Aptos" w:eastAsia="Aptos"/>
          <w:b/>
          <w:color w:val="526771"/>
          <w:sz w:val="17"/>
        </w:rPr>
        <w:t>Figure 1.</w:t>
      </w:r>
      <w:r>
        <w:rPr>
          <w:rFonts w:ascii="Aptos" w:hAnsi="Aptos" w:eastAsia="Aptos"/>
          <w:color w:val="526771"/>
          <w:sz w:val="17"/>
        </w:rPr>
        <w:t xml:space="preserve"> Cross-model by retrieval-availability design. The comparator model differs by study; SeaFlow retrieval availability is the intended treatment difference within each study. The three repetitions apply to each model–retrieval–case cell for M01 and M03. [S03, S06]</w:t>
      </w:r>
    </w:p>
    <w:p>
      <w:r>
        <w:rPr>
          <w:rFonts w:ascii="Aptos" w:hAnsi="Aptos" w:eastAsia="Aptos"/>
          <w:color w:val="20313A"/>
          <w:sz w:val="20"/>
        </w:rPr>
        <w:t>An observation is one selected subject execution for a study, model condition, retrieval condition, case, and repetition. Two evaluator records concerning that execution are repeated measurements of its output, rather than two additional experimental units. Item findings, negative-rule inspections, and C screening components are nested evaluation records. Neither the 90 accepted evaluator records nor the 1,620-component screening queue enlarges the experimental sample beyond 48. The frozen protocol calls for fresh subject sessions and separate workspaces. Those design requirements do not establish statistical independence or technically certified isolation in every later evaluation session. [S02–S03, S09, S11–S12]</w:t>
      </w:r>
    </w:p>
    <w:p>
      <w:pPr>
        <w:pStyle w:val="Heading2"/>
      </w:pPr>
      <w:r>
        <w:rPr>
          <w:rFonts w:ascii="Aptos" w:hAnsi="Aptos" w:eastAsia="Aptos"/>
          <w:color w:val="087E9B"/>
          <w:sz w:val="23"/>
        </w:rPr>
        <w:t>1.3 Execution conditions and protocol lineage</w:t>
      </w:r>
    </w:p>
    <w:p>
      <w:r>
        <w:rPr>
          <w:rFonts w:ascii="Aptos" w:hAnsi="Aptos" w:eastAsia="Aptos"/>
          <w:color w:val="20313A"/>
          <w:sz w:val="20"/>
        </w:rPr>
        <w:t xml:space="preserve">The experiment uses local Windows workspaces and externally supplied model conditions. The frozen protocol identifies case prompts, dossier contents, corpus and retrieval-runtime digests, provider configurations, and prospective execution records. Provider-internal backend build identities are not independently exposed; reproducibility concerns the frozen user-selectable conditions and their recorded interfaces. Historical execution and the current manuscript-reproduction environment are documented separately. The latter uses Python's standard library and is recorded in </w:t>
      </w:r>
      <w:r>
        <w:rPr>
          <w:rFonts w:ascii="Consolas" w:hAnsi="Consolas" w:eastAsia="Aptos"/>
          <w:color w:val="064B66"/>
          <w:sz w:val="18"/>
        </w:rPr>
        <w:t>REPRODUCIBLE_ANALYSIS/ENVIRONMENT.json</w:t>
      </w:r>
      <w:r>
        <w:rPr>
          <w:rFonts w:ascii="Aptos" w:hAnsi="Aptos" w:eastAsia="Aptos"/>
          <w:color w:val="20313A"/>
          <w:sz w:val="20"/>
        </w:rPr>
        <w:t>. [S03; reproducibility environment record]</w:t>
      </w:r>
    </w:p>
    <w:p>
      <w:r>
        <w:rPr>
          <w:rFonts w:ascii="Aptos" w:hAnsi="Aptos" w:eastAsia="Aptos"/>
          <w:color w:val="20313A"/>
          <w:sz w:val="20"/>
        </w:rPr>
        <w:t>The base protocol describes restricted local retrieval and source acquisition. Its effective reading also requires the general-search reconciliation amendment. This gives the experiment an intentionally web-enabled comparison baseline; it does not include an offline/no-search arm. The general-search reconciliation resolves a conflict in the frozen treatment configuration while leaving retrieval availability as the sole intended difference.  General search and web fetch are available in both retrieval conditions under that shared baseline; the intended treatment difference is availability of the frozen SeaFlow retrieval capability. General search is not SeaFlow retrieval. Source-acquisition and corpus-mutation restrictions remain separately applicable. Consequently, RAG OFF cannot be described as an absence of all search capabilities, and RAG ON cannot be equated with successful retrieval or use of returned evidence. Availability, invocation, return, and evidentiary use are different quantities. [S03, S06]</w:t>
      </w:r>
    </w:p>
    <w:p>
      <w:r>
        <w:rPr>
          <w:rFonts w:ascii="Aptos" w:hAnsi="Aptos" w:eastAsia="Aptos"/>
          <w:color w:val="20313A"/>
          <w:sz w:val="20"/>
        </w:rPr>
        <w:t>The sealed execution report records a researcher-accepted set of 48 observations and native final-answer coverage for all 48. One observation was accepted with a disclosed exception to the original execution requirements, leaving a strict per-protocol set of 47. Researcher acceptance does not make the exceptional observation retrospectively protocol compliant. These memberships are execution dispositions; they do not establish the number of complete or adjudicated outcome records available for either analysis set. No subject execution is resumed or reconstructed for this paper. [S17–S18]</w:t>
      </w:r>
    </w:p>
    <w:p>
      <w:r>
        <w:rPr>
          <w:rFonts w:ascii="Aptos" w:hAnsi="Aptos" w:eastAsia="Aptos"/>
          <w:color w:val="20313A"/>
          <w:sz w:val="20"/>
        </w:rPr>
        <w:t>The effective scoring implementation is E1-FINAL-v1.0.1, whose protocol bytes match the bound corrective seal. It preserves the original rubric scales, weights, dimensions, root-defect rules, and scoring formulas, while disclosing versioned procedural and predicate interpretations. The original and effective implementation lineages must remain distinguishable. In particular, the narrowed Q13 scope, original versus versioned deterministic checks, M03-16 linkage, and natural-answer-only evidence scope for M03-19 can affect comparability even with unchanged arithmetic. EA-01 is a subsequent exploratory analysis with separately locked specifications and an additive source correction; it does not alter the original scoring lineage. [S01–S02, S10]</w:t>
      </w:r>
    </w:p>
    <w:p>
      <w:pPr>
        <w:pStyle w:val="Heading2"/>
      </w:pPr>
      <w:r>
        <w:rPr>
          <w:rFonts w:ascii="Aptos" w:hAnsi="Aptos" w:eastAsia="Aptos"/>
          <w:color w:val="087E9B"/>
          <w:sz w:val="23"/>
        </w:rPr>
        <w:t>1.4 Evidence-first evaluation and scoring</w:t>
      </w:r>
    </w:p>
    <w:p>
      <w:r>
        <w:rPr>
          <w:rFonts w:ascii="Aptos" w:hAnsi="Aptos" w:eastAsia="Aptos"/>
          <w:color w:val="20313A"/>
          <w:sz w:val="20"/>
        </w:rPr>
        <w:t>The scoring framework assesses issue discovery, evidence coverage, source routing, conflict handling, uncertainty/refusal, and citation provenance. These six common dimensions carry maximum weights of 15, 15, 10, 10, 10, and 10, totaling 70. The case-specific dimensions total 30: collision evidence, causation restraint, and multi-issue handling for M01; missing-source honesty, representation authority, and criminalization restraint for M03. Each case has 20 positive items of weight five, using credits of 0, 0.5, or 1. These are rubric specifications, not observed score distributions. [S02, S04]</w:t>
      </w:r>
    </w:p>
    <w:p>
      <w:r>
        <w:rPr>
          <w:rFonts w:ascii="Aptos" w:hAnsi="Aptos" w:eastAsia="Aptos"/>
          <w:color w:val="20313A"/>
          <w:sz w:val="20"/>
        </w:rPr>
        <w:t>For a complete component, the common evidence score is the sum of its 14 weighted common-item credits, and the case-specific score is the sum of six weighted specific-item credits. Raw total equals common plus case-specific score. Final quality score is bounded to [0, 100] after adding the original deduplicated penalties. The common component can be finalized independently only if all its necessary criteria are complete; an incomplete case-specific component does not authorize rescaling the common component or calculating an adjusted full score. No numerical outcome is assembled here from unavailable operational predicates or unresolved evaluator findings. [S02 §§1, 11]</w:t>
      </w:r>
    </w:p>
    <w:p>
      <w:r>
        <w:rPr>
          <w:rFonts w:ascii="Aptos" w:hAnsi="Aptos" w:eastAsia="Aptos"/>
          <w:color w:val="20313A"/>
          <w:sz w:val="20"/>
        </w:rPr>
        <w:t>Positive credit must be tied to exact answer or other permitted evidence anchors and the applicable rubric criterion. Reduced credit requires root-defect attribution. Secondary deductions require separately observable symptoms rather than automatic propagation of one defect across dimensions. Negative rules address affirmative harmful acts, with default penalties of −2, −5, and −10 by severity and deduplication by penalty-root identity. Capability omissions alone do not create a negative penalty, and avoidance of a negative act does not earn positive points. Critical error is an independently evidenced, nonnumeric finding. A penalty category or magnitude does not automatically establish criticality. [S02, S04–S05]</w:t>
      </w:r>
    </w:p>
    <w:p>
      <w:r>
        <w:rPr>
          <w:rFonts w:ascii="Aptos" w:hAnsi="Aptos" w:eastAsia="Aptos"/>
          <w:color w:val="20313A"/>
          <w:sz w:val="20"/>
        </w:rPr>
        <w:t>The effective procedural arrangement separates semantic assessment from restricted operational verification. A1 and A2 assess authoritative final-answer presentations against common reference materials; their permitted inputs exclude treatment identities and B operational receipts. B verifies the necessary predesignated operational and provenance predicates. C has distinct substantive and operational lanes. D retains identity linkage and implements authorized arithmetic joins without semantic override. For a linked item such as M03-16, the required text findings and operational predicates must both be established under the approved rule/version before final numerical assembly. The present analysis uses authorized D identity linkage only. It does not assemble operational predicates, penalties, or a fully adjudicated quality score from B/C findings. [S02 §§5, 10–11]</w:t>
      </w:r>
    </w:p>
    <w:p>
      <w:pPr>
        <w:pStyle w:val="Heading2"/>
      </w:pPr>
      <w:r>
        <w:rPr>
          <w:rFonts w:ascii="Aptos" w:hAnsi="Aptos" w:eastAsia="Aptos"/>
          <w:color w:val="087E9B"/>
          <w:sz w:val="23"/>
        </w:rPr>
        <w:t>1.5 Blinding, evaluator status, and reconciliation</w:t>
      </w:r>
    </w:p>
    <w:p>
      <w:r>
        <w:rPr>
          <w:rFonts w:ascii="Aptos" w:hAnsi="Aptos" w:eastAsia="Aptos"/>
          <w:color w:val="20313A"/>
          <w:sz w:val="20"/>
        </w:rPr>
        <w:t>The intended A1/A2 procedure uses independent blinded evaluation. The accepted closeout records preserve separate evaluator locks and report that each ordinary queue is exhausted. However, procedural independence is not equivalent to a technically certified absence of information propagation. The researcher accepted unresolved independence and continuity evidence as disclosed methodological limitations. The present manuscript therefore describes the intended separation and the documented completed work while qualifying claims about its realized strength. [S07–S09, S11]</w:t>
      </w:r>
    </w:p>
    <w:p>
      <w:r>
        <w:rPr>
          <w:rFonts w:ascii="Aptos" w:hAnsi="Aptos" w:eastAsia="Aptos"/>
          <w:color w:val="20313A"/>
          <w:sz w:val="20"/>
        </w:rPr>
        <w:t>DC denotes a discussion-candidate hold, not a score category. Each evaluator has three such holds. A2's accounting distinguishes two evaluator-nominated holds and one researcher-designated hold associated with a quarantined historical UNKNOWN evaluation outcome. The historical UNKNOWN is a subset of the three A2 holds, rather than a fourth unscored A2 record. An administrative designation supplies neither a numerical score nor evidence of independent evaluator discovery. Deferred, unobservable, unresolved-policy, and legitimately null fields retain their stated reasons and lineage. No guessed zero, guessed credit, automatic penalty clearance, or denominator renormalization is applied. [S02, S07, S11]</w:t>
      </w:r>
    </w:p>
    <w:p>
      <w:r>
        <w:rPr>
          <w:rFonts w:ascii="Aptos" w:hAnsi="Aptos" w:eastAsia="Aptos"/>
          <w:color w:val="20313A"/>
          <w:sz w:val="20"/>
        </w:rPr>
        <w:t>The frozen S4 rule accepts identical item credits only with compatible evidence. Adjacent-level differences can use the lower credit when evidence is compatible and no underlying fact, critical-event, or penalty dispute remains. Material disagreements include 0-versus-1 differences and disputes over facts, provenance, critical findings, or penalties. Only the disputed item or event and its minimal supporting record should enter independent adjudication; unaffected findings remain unchanged. Necessary evidence gaps leave an item unscorable and the relevant total incomplete. [S02 §10 and Appendix S4; S05]</w:t>
      </w:r>
    </w:p>
    <w:p>
      <w:r>
        <w:rPr>
          <w:rFonts w:ascii="Aptos" w:hAnsi="Aptos" w:eastAsia="Aptos"/>
          <w:color w:val="20313A"/>
          <w:sz w:val="20"/>
        </w:rPr>
        <w:t>C_SCREEN classifies a component for reconciliation routing. An accepted screening lock fixes that classification and its provenance. It does not become a C_ADJUDICATE decision or a final score. The accepted first-screen record explicitly reports no adjudication authorization for that screen, and the consolidated accounting preserves this distinction. Compatibility classifications alone do not certify completion of all remaining S4 requirements or permit full-score assembly. Final blinded findings must be frozen before identity reveal under the applicable subsequent authorization. The original full-S4 evaluation has not been completed. [S12–S15; S02]</w:t>
      </w:r>
    </w:p>
    <w:p>
      <w:pPr>
        <w:pStyle w:val="Heading2"/>
      </w:pPr>
      <w:r>
        <w:rPr>
          <w:rFonts w:ascii="Aptos" w:hAnsi="Aptos" w:eastAsia="Aptos"/>
          <w:color w:val="087E9B"/>
          <w:sz w:val="23"/>
        </w:rPr>
        <w:t>1.6 Source eligibility and reproducible analysis</w:t>
      </w:r>
    </w:p>
    <w:p>
      <w:r>
        <w:rPr>
          <w:rFonts w:ascii="Aptos" w:hAnsi="Aptos" w:eastAsia="Aptos"/>
          <w:color w:val="20313A"/>
          <w:sz w:val="20"/>
        </w:rPr>
        <w:t xml:space="preserve">Every empirical claim is tied to a source ID in </w:t>
      </w:r>
      <w:r>
        <w:rPr>
          <w:rFonts w:ascii="Consolas" w:hAnsi="Consolas" w:eastAsia="Aptos"/>
          <w:color w:val="064B66"/>
          <w:sz w:val="18"/>
        </w:rPr>
        <w:t>FIXED_EVIDENCE_SOURCE_REGISTER.json</w:t>
      </w:r>
      <w:r>
        <w:rPr>
          <w:rFonts w:ascii="Aptos" w:hAnsi="Aptos" w:eastAsia="Aptos"/>
          <w:color w:val="20313A"/>
          <w:sz w:val="20"/>
        </w:rPr>
        <w:t>, which records the authoritative path, exact hash, acceptance/manifest basis, local snapshot, evidence status, and permitted claim scope. The register separates effective protocols, accepted evaluator accounting, accepted screening records, researcher limitation dispositions, and execution summaries. Filenames alone establish no eligibility. Later accepted limitation dispositions govern interpretation of earlier readiness reports; the earlier report's assertion that no final E2 freeze exists is not adopted, because the accepted limitation record acknowledges a historical final seal while preserving unresolved output-root authorization and later-context applicability. [S01, S07–S12]</w:t>
      </w:r>
    </w:p>
    <w:p>
      <w:r>
        <w:rPr>
          <w:rFonts w:ascii="Aptos" w:hAnsi="Aptos" w:eastAsia="Aptos"/>
          <w:color w:val="20313A"/>
          <w:sz w:val="20"/>
        </w:rPr>
        <w:t xml:space="preserve">The earlier authorized intake verified the 90 accepted evaluator-lock hashes and 86 receipt references available in their fixed binding index; four historical original locks lack receipt paths in that index. Under the new researcher direction, EA-01 v1.3 then projected only the 90 accepted A1/A2 locked judgments and checked each lock against its accepted hash. The extractor retains the evaluator role from the fixed S16 binding and matching lock envelope; four preserved original records have no redundant inner role field, which is retained as a schema limitation. That v1.3 extraction did not read treatment assignments or lock-bound answer text. The later SC01/RD01 stage uses only the authorized identity linkage and the unchanged derived subtotals. These local hash checks do not constitute a new semantic adjudication or technical-isolation certification. [S02, S04, S16; </w:t>
      </w:r>
      <w:r>
        <w:rPr>
          <w:rFonts w:ascii="Consolas" w:hAnsi="Consolas" w:eastAsia="Aptos"/>
          <w:color w:val="064B66"/>
          <w:sz w:val="18"/>
        </w:rPr>
        <w:t>REPRODUCIBLE_ANALYSIS/EXPLORATORY_ANALYSIS_LOCK_V1_3.json</w:t>
      </w:r>
      <w:r>
        <w:rPr>
          <w:rFonts w:ascii="Aptos" w:hAnsi="Aptos" w:eastAsia="Aptos"/>
          <w:color w:val="20313A"/>
          <w:sz w:val="20"/>
        </w:rPr>
        <w:t>]</w:t>
      </w:r>
    </w:p>
    <w:p>
      <w:pPr>
        <w:pStyle w:val="Heading2"/>
      </w:pPr>
      <w:r>
        <w:rPr>
          <w:rFonts w:ascii="Aptos" w:hAnsi="Aptos" w:eastAsia="Aptos"/>
          <w:color w:val="087E9B"/>
          <w:sz w:val="23"/>
        </w:rPr>
        <w:t>1.7 Exploratory analysis amendment EA-01</w:t>
      </w:r>
    </w:p>
    <w:p>
      <w:r>
        <w:rPr>
          <w:rFonts w:ascii="Aptos" w:hAnsi="Aptos" w:eastAsia="Aptos"/>
          <w:color w:val="20313A"/>
          <w:sz w:val="20"/>
        </w:rPr>
        <w:t>The researcher prospectively authorized an exploratory analysis of the existing A1/A2 item locks. EA-01 v1.3 was hash-locked before its treatment-mapping stage. It reports each evaluator separately, stratified by case and common versus case-specific items, using the accepted 0/0.5/1 credits. It reports the item-credit distribution and, only for fully observed frozen item sets, an explicitly labelled A-only exploratory Common70 or Specific30 subtotal. These subtotals do not include penalties, operational evidence, or C decisions; they are not final quality scores. An item with a null credit, or an item lacking its dimension or weight, remains null or unclassified. Partial sums are never renormalized. [S02, S04, S16; EA-01 v1.3]</w:t>
      </w:r>
    </w:p>
    <w:p>
      <w:r>
        <w:rPr>
          <w:rFonts w:ascii="Aptos" w:hAnsi="Aptos" w:eastAsia="Aptos"/>
          <w:color w:val="20313A"/>
          <w:sz w:val="20"/>
        </w:rPr>
        <w:t>The amendment pairs A1 and A2 by neutral blind ID, case, and item ID. It reports exact item-credit agreement, adjacent differences, full-scale differences, nulls, and schema exclusions. The statistic compares credits only; it does not establish evidence compatibility under S4. It does not adjudicate disagreements or create a consensus score. EA-01 v1.4 separately fixes the treatment contrasts, populations, complete-component rules, and interval method. They were executed only after the SC01 source correction, independent parser lock, and RD01 limited-reveal exception were recorded. [EA-01 v1.3; lock record]</w:t>
      </w:r>
    </w:p>
    <w:p>
      <w:pPr>
        <w:pStyle w:val="Heading2"/>
      </w:pPr>
      <w:r>
        <w:rPr>
          <w:rFonts w:ascii="Aptos" w:hAnsi="Aptos" w:eastAsia="Aptos"/>
          <w:color w:val="087E9B"/>
          <w:sz w:val="23"/>
        </w:rPr>
        <w:t>1.8 Locked treatment analysis and controlled source correction</w:t>
      </w:r>
    </w:p>
    <w:p>
      <w:r>
        <w:rPr>
          <w:rFonts w:ascii="Aptos" w:hAnsi="Aptos" w:eastAsia="Aptos"/>
          <w:color w:val="20313A"/>
          <w:sz w:val="20"/>
        </w:rPr>
        <w:t>EA-01 v1.4 specifies the 47 strictly compliant observations as the primary population and the 48 researcher-accepted observations as sensitivity. Within each study, model, case, evaluator, and complete score component, Delta_RAG is mean ON minus mean OFF. The model-by-RAG interaction is the comparator's ON–OFF difference minus the DS difference. Comparator-minus-DS differences are also reported within each RAG condition. A1 and A2 are paired measurements of original observations and are never pooled as additional units. The component-level complete-case rule is applied unchanged to both populations. [EA-01 v1.4]</w:t>
      </w:r>
    </w:p>
    <w:p>
      <w:r>
        <w:rPr>
          <w:rFonts w:ascii="Aptos" w:hAnsi="Aptos" w:eastAsia="Aptos"/>
          <w:color w:val="20313A"/>
          <w:sz w:val="20"/>
        </w:rPr>
        <w:t>Uncertainty follows the locked two-sided 95% Welch–Satterthwaite method. For a linear mean contrast, the variance estimate is the sum of the weighted cell-mean variance contributions; Satterthwaite degrees of freedom use the corresponding squared contributions divided by cell-specific n−1. Empty or nonvarying cells are NOT_ESTIMABLE under the written v1.4 rule. Where both means exist but a required cell has fewer than two eligible observations, a descriptive point difference is allowed and its interval remains NOT_ESTIMABLE. No p-values, significance stars, imputation, renormalization, or post-result subgroup selection are used. Intervals are not clipped to the bounded score scale. [EA-01 v1.4; locked mathematical implementation]</w:t>
      </w:r>
    </w:p>
    <w:p>
      <w:r>
        <w:rPr>
          <w:rFonts w:ascii="Aptos" w:hAnsi="Aptos" w:eastAsia="Aptos"/>
          <w:color w:val="20313A"/>
          <w:sz w:val="20"/>
        </w:rPr>
        <w:t>The original v1.4 lock bound an unsuitable nine-ID mapping. That attempt stopped before score joining and estimation. SC01 is an additive post-v1.4-lock source correction, not a retrospective rewrite of the original lock. The custodian's schema handoff binds the E2-FINAL D companion linking blind ID to opaque run ID, the frozen formal observation registry, the independent execution closeout supplying compliance, and the frozen blind response index. The SC01 adapter and its 22 synthetic schema tests were hash-locked before accessing the corrected 48-observation linkage. [SC01]</w:t>
      </w:r>
    </w:p>
    <w:p>
      <w:r>
        <w:rPr>
          <w:rFonts w:ascii="Aptos" w:hAnsi="Aptos" w:eastAsia="Aptos"/>
          <w:color w:val="20313A"/>
          <w:sz w:val="20"/>
        </w:rPr>
        <w:t>RD01 expressly approves an EA-01-only exception to the original full-S4 freeze-before-identity-reveal timing condition. It was recorded after the original protocol and before this analyst decoded the correct 48-observation assignments. The exception does not change scores, statistical rules, or the incomplete original S4/E4 status. The execution controller was independently locked before reveal, the chain was validated as 48 unique observations in 16 cells of three repetitions, and all 45 paired accepted scoring identities matched. The join was retained in memory only; the reproducibility package exports aggregate tables and audit metadata without individual assignment rows. No information is returned to blind judges. [SC01, RD01; aggregate analysis audit]</w:t>
      </w:r>
    </w:p>
    <w:p>
      <w:pPr>
        <w:pStyle w:val="Heading2"/>
      </w:pPr>
      <w:r>
        <w:rPr>
          <w:rFonts w:ascii="Aptos" w:hAnsi="Aptos" w:eastAsia="Aptos"/>
          <w:color w:val="087E9B"/>
          <w:sz w:val="23"/>
        </w:rPr>
        <w:t>1.9 Author and computational contributions</w:t>
      </w:r>
    </w:p>
    <w:p>
      <w:r>
        <w:rPr>
          <w:rFonts w:ascii="Aptos" w:hAnsi="Aptos" w:eastAsia="Aptos"/>
          <w:color w:val="20313A"/>
          <w:sz w:val="20"/>
        </w:rPr>
        <w:t>The researcher defined the empirical question and boundaries, preserved the fixed sample and scoring rules, approved the limited analyst-only reveal exception, and determined which claims the results support. AI-assisted work implemented the deterministic source adapter and arithmetic processing, generated aggregate verification outputs and figures, and prepared these manuscripts. It did not create ratings, adjudicate answers, infer missing scores or replace researcher decisions. No SeaFlow product code was changed in this manuscript analysis. This account is limited to the recorded work in this project.</w:t>
      </w:r>
    </w:p>
    <w:p>
      <w:pPr>
        <w:pStyle w:val="Heading1"/>
      </w:pPr>
      <w:r>
        <w:rPr>
          <w:rFonts w:ascii="Aptos" w:hAnsi="Aptos" w:eastAsia="Aptos"/>
          <w:color w:val="064B66"/>
          <w:sz w:val="30"/>
        </w:rPr>
        <w:t>2. Results</w:t>
      </w:r>
    </w:p>
    <w:p>
      <w:pPr>
        <w:pStyle w:val="Heading2"/>
      </w:pPr>
      <w:r>
        <w:rPr>
          <w:rFonts w:ascii="Aptos" w:hAnsi="Aptos" w:eastAsia="Aptos"/>
          <w:color w:val="087E9B"/>
          <w:sz w:val="23"/>
        </w:rPr>
        <w:t>2.1 Execution and accepted evaluator accounting</w:t>
      </w:r>
    </w:p>
    <w:p>
      <w:r>
        <w:rPr>
          <w:rFonts w:ascii="Aptos" w:hAnsi="Aptos" w:eastAsia="Aptos"/>
          <w:color w:val="20313A"/>
          <w:sz w:val="20"/>
        </w:rPr>
        <w:t>The fixed execution archive establishes completion of the 48-observation researcher-accepted set, including the disclosed exception; the strict per-protocol membership is 47. Execution completion is distinct from outcome-evaluation completion. The authoritative evaluator accounting establishes 45 accepted locks and three DC holds for A1, and the same counts for A2. Thus, 90 of the 96 evaluator–observation positions have accepted evaluator records, while six positions remain unscored holds. An accepted record can still contain deferred or legitimately null components. The 90 locks therefore cannot be described as 90 complete final quality scores. [S07, S11, S16–S18]</w:t>
      </w:r>
    </w:p>
    <w:tbl>
      <w:tblPr>
        <w:tblW w:type="auto" w:w="0"/>
        <w:jc w:val="center"/>
        <w:tblLayout w:type="fixed"/>
        <w:tblLook w:firstColumn="1" w:firstRow="1" w:lastColumn="0" w:lastRow="0" w:noHBand="0" w:noVBand="1" w:val="04A0"/>
        <w:tblBorders>
          <w:top w:val="single" w:sz="5" w:color="C8D9DE"/>
          <w:left w:val="single" w:sz="5" w:color="C8D9DE"/>
          <w:bottom w:val="single" w:sz="5" w:color="C8D9DE"/>
          <w:right w:val="single" w:sz="5" w:color="C8D9DE"/>
          <w:insideH w:val="single" w:sz="5" w:color="C8D9DE"/>
          <w:insideV w:val="single" w:sz="5" w:color="C8D9DE"/>
        </w:tblBorders>
      </w:tblPr>
      <w:tblGrid>
        <w:gridCol w:w="2534"/>
        <w:gridCol w:w="2534"/>
        <w:gridCol w:w="2534"/>
        <w:gridCol w:w="2534"/>
      </w:tblGrid>
      <w:tr>
        <w:trPr>
          <w:cantSplit/>
          <w:tblHeader w:val="true"/>
        </w:trPr>
        <w:tc>
          <w:tcPr>
            <w:tcW w:type="dxa" w:w="2534"/>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Fixed quantity</w:t>
            </w:r>
          </w:p>
        </w:tc>
        <w:tc>
          <w:tcPr>
            <w:tcW w:type="dxa" w:w="2534"/>
            <w:vAlign w:val="center"/>
            <w:tcMar>
              <w:top w:w="90" w:type="dxa"/>
              <w:start w:w="100" w:type="dxa"/>
              <w:bottom w:w="90" w:type="dxa"/>
              <w:end w:w="100" w:type="dxa"/>
            </w:tcMar>
            <w:shd w:fill="064B66"/>
          </w:tcPr>
          <w:p>
            <w:pPr>
              <w:spacing w:before="0" w:after="0" w:line="245" w:lineRule="auto"/>
              <w:jc w:val="center"/>
            </w:pPr>
            <w:r>
              <w:rPr>
                <w:rFonts w:ascii="Aptos" w:hAnsi="Aptos" w:eastAsia="Aptos"/>
                <w:b/>
                <w:color w:val="FFFFFF"/>
                <w:sz w:val="16"/>
              </w:rPr>
              <w:t>Count</w:t>
            </w:r>
          </w:p>
        </w:tc>
        <w:tc>
          <w:tcPr>
            <w:tcW w:type="dxa" w:w="2534"/>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Correct unit or denominator</w:t>
            </w:r>
          </w:p>
        </w:tc>
        <w:tc>
          <w:tcPr>
            <w:tcW w:type="dxa" w:w="2534"/>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Evidence status and source</w:t>
            </w:r>
          </w:p>
        </w:tc>
      </w:tr>
      <w:tr>
        <w:trPr>
          <w:cantSplit/>
        </w:trPr>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Researcher-accepted executions</w:t>
            </w:r>
          </w:p>
        </w:tc>
        <w:tc>
          <w:tcPr>
            <w:tcW w:type="dxa" w:w="2534"/>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48</w:t>
            </w:r>
          </w:p>
        </w:tc>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Experimental observations</w:t>
            </w:r>
          </w:p>
        </w:tc>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Sealed execution set; S17–S18</w:t>
            </w:r>
          </w:p>
        </w:tc>
      </w:tr>
      <w:tr>
        <w:trPr>
          <w:cantSplit/>
        </w:trPr>
        <w:tc>
          <w:tcPr>
            <w:tcW w:type="dxa" w:w="253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Strict per-protocol membership</w:t>
            </w:r>
          </w:p>
        </w:tc>
        <w:tc>
          <w:tcPr>
            <w:tcW w:type="dxa" w:w="2534"/>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47</w:t>
            </w:r>
          </w:p>
        </w:tc>
        <w:tc>
          <w:tcPr>
            <w:tcW w:type="dxa" w:w="253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Experimental observations</w:t>
            </w:r>
          </w:p>
        </w:tc>
        <w:tc>
          <w:tcPr>
            <w:tcW w:type="dxa" w:w="253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Disclosed exception retained outside strict set; S18</w:t>
            </w:r>
          </w:p>
        </w:tc>
      </w:tr>
      <w:tr>
        <w:trPr>
          <w:cantSplit/>
        </w:trPr>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Accepted A1 locks</w:t>
            </w:r>
          </w:p>
        </w:tc>
        <w:tc>
          <w:tcPr>
            <w:tcW w:type="dxa" w:w="2534"/>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45</w:t>
            </w:r>
          </w:p>
        </w:tc>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48 A1 evaluator–observation positions</w:t>
            </w:r>
          </w:p>
        </w:tc>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Accepted locks; S07, S11, S16</w:t>
            </w:r>
          </w:p>
        </w:tc>
      </w:tr>
      <w:tr>
        <w:trPr>
          <w:cantSplit/>
        </w:trPr>
        <w:tc>
          <w:tcPr>
            <w:tcW w:type="dxa" w:w="253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A1 DC holds</w:t>
            </w:r>
          </w:p>
        </w:tc>
        <w:tc>
          <w:tcPr>
            <w:tcW w:type="dxa" w:w="2534"/>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3</w:t>
            </w:r>
          </w:p>
        </w:tc>
        <w:tc>
          <w:tcPr>
            <w:tcW w:type="dxa" w:w="253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48 A1 evaluator–observation positions</w:t>
            </w:r>
          </w:p>
        </w:tc>
        <w:tc>
          <w:tcPr>
            <w:tcW w:type="dxa" w:w="253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Unscored holds; S07, S11</w:t>
            </w:r>
          </w:p>
        </w:tc>
      </w:tr>
      <w:tr>
        <w:trPr>
          <w:cantSplit/>
        </w:trPr>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Accepted A2 locks</w:t>
            </w:r>
          </w:p>
        </w:tc>
        <w:tc>
          <w:tcPr>
            <w:tcW w:type="dxa" w:w="2534"/>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45</w:t>
            </w:r>
          </w:p>
        </w:tc>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48 A2 evaluator–observation positions</w:t>
            </w:r>
          </w:p>
        </w:tc>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Accepted locks; S07, S11, S16</w:t>
            </w:r>
          </w:p>
        </w:tc>
      </w:tr>
      <w:tr>
        <w:trPr>
          <w:cantSplit/>
        </w:trPr>
        <w:tc>
          <w:tcPr>
            <w:tcW w:type="dxa" w:w="253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A2 DC holds</w:t>
            </w:r>
          </w:p>
        </w:tc>
        <w:tc>
          <w:tcPr>
            <w:tcW w:type="dxa" w:w="2534"/>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3</w:t>
            </w:r>
          </w:p>
        </w:tc>
        <w:tc>
          <w:tcPr>
            <w:tcW w:type="dxa" w:w="253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48 A2 evaluator–observation positions</w:t>
            </w:r>
          </w:p>
        </w:tc>
        <w:tc>
          <w:tcPr>
            <w:tcW w:type="dxa" w:w="253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Unscored holds; S07, S11</w:t>
            </w:r>
          </w:p>
        </w:tc>
      </w:tr>
      <w:tr>
        <w:trPr>
          <w:cantSplit/>
        </w:trPr>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Accepted evaluator records, combined</w:t>
            </w:r>
          </w:p>
        </w:tc>
        <w:tc>
          <w:tcPr>
            <w:tcW w:type="dxa" w:w="2534"/>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90</w:t>
            </w:r>
          </w:p>
        </w:tc>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96 evaluator–observation positions</w:t>
            </w:r>
          </w:p>
        </w:tc>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Evaluator records, not independent observations; S07, S11, S16</w:t>
            </w:r>
          </w:p>
        </w:tc>
      </w:tr>
      <w:tr>
        <w:trPr>
          <w:cantSplit/>
        </w:trPr>
        <w:tc>
          <w:tcPr>
            <w:tcW w:type="dxa" w:w="253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Historical UNKNOWN within A2 DC</w:t>
            </w:r>
          </w:p>
        </w:tc>
        <w:tc>
          <w:tcPr>
            <w:tcW w:type="dxa" w:w="2534"/>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1</w:t>
            </w:r>
          </w:p>
        </w:tc>
        <w:tc>
          <w:tcPr>
            <w:tcW w:type="dxa" w:w="253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Subset of three A2 DC holds</w:t>
            </w:r>
          </w:p>
        </w:tc>
        <w:tc>
          <w:tcPr>
            <w:tcW w:type="dxa" w:w="253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Quarantined historical outcome; S11</w:t>
            </w:r>
          </w:p>
        </w:tc>
      </w:tr>
    </w:tbl>
    <w:p>
      <w:pPr>
        <w:spacing w:after="20"/>
      </w:pPr>
    </w:p>
    <w:p>
      <w:r>
        <w:rPr>
          <w:rFonts w:ascii="Aptos" w:hAnsi="Aptos" w:eastAsia="Aptos"/>
          <w:color w:val="20313A"/>
          <w:sz w:val="20"/>
        </w:rPr>
        <w:t>In the accepted locks, all 45 A1 neutral IDs pair to an A2 lock for the same case. This gives 45 blinded evaluator pairs, not 45 pairs of complete outcome scores. The three DC holds per evaluator remain outside the rating analysis; the UNKNOWN remains a subset of one A2 hold. No hold is assigned a zero or included in a score denominator. [S07, S11, S16; EA-01 v1.3]</w:t>
      </w:r>
    </w:p>
    <w:p>
      <w:pPr>
        <w:pStyle w:val="Heading2"/>
      </w:pPr>
      <w:r>
        <w:rPr>
          <w:rFonts w:ascii="Aptos" w:hAnsi="Aptos" w:eastAsia="Aptos"/>
          <w:color w:val="087E9B"/>
          <w:sz w:val="23"/>
        </w:rPr>
        <w:t>2.2 Evaluator-specific locked credit estimates</w:t>
      </w:r>
    </w:p>
    <w:p>
      <w:r>
        <w:rPr>
          <w:rFonts w:ascii="Aptos" w:hAnsi="Aptos" w:eastAsia="Aptos"/>
          <w:color w:val="20313A"/>
          <w:sz w:val="20"/>
        </w:rPr>
        <w:t>EA-01 analyzed the accepted A1/A2 item credits separately, by case and score class. The two original M01 locks per evaluator that lack item dimension and weight labels remain unclassified and do not enter these weighted groups. The other 43 records per evaluator have labelled item schemas. The table reports nonmissing credit distributions and means; the mean is a descriptive average of recorded credits, not a final quality score. [EA-01 v1.3; S16]</w:t>
      </w:r>
    </w:p>
    <w:tbl>
      <w:tblPr>
        <w:tblW w:type="auto" w:w="0"/>
        <w:jc w:val="center"/>
        <w:tblLayout w:type="fixed"/>
        <w:tblLook w:firstColumn="1" w:firstRow="1" w:lastColumn="0" w:lastRow="0" w:noHBand="0" w:noVBand="1" w:val="04A0"/>
        <w:tblBorders>
          <w:top w:val="single" w:sz="5" w:color="C8D9DE"/>
          <w:left w:val="single" w:sz="5" w:color="C8D9DE"/>
          <w:bottom w:val="single" w:sz="5" w:color="C8D9DE"/>
          <w:right w:val="single" w:sz="5" w:color="C8D9DE"/>
          <w:insideH w:val="single" w:sz="5" w:color="C8D9DE"/>
          <w:insideV w:val="single" w:sz="5" w:color="C8D9DE"/>
        </w:tblBorders>
      </w:tblPr>
      <w:tblGrid>
        <w:gridCol w:w="713"/>
        <w:gridCol w:w="849"/>
        <w:gridCol w:w="849"/>
        <w:gridCol w:w="1528"/>
        <w:gridCol w:w="2547"/>
        <w:gridCol w:w="1104"/>
        <w:gridCol w:w="2547"/>
      </w:tblGrid>
      <w:tr>
        <w:trPr>
          <w:cantSplit/>
          <w:tblHeader w:val="true"/>
        </w:trPr>
        <w:tc>
          <w:tcPr>
            <w:tcW w:type="dxa" w:w="713"/>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Evaluator</w:t>
            </w:r>
          </w:p>
        </w:tc>
        <w:tc>
          <w:tcPr>
            <w:tcW w:type="dxa" w:w="849"/>
            <w:vAlign w:val="center"/>
            <w:tcMar>
              <w:top w:w="90" w:type="dxa"/>
              <w:start w:w="100" w:type="dxa"/>
              <w:bottom w:w="90" w:type="dxa"/>
              <w:end w:w="100" w:type="dxa"/>
            </w:tcMar>
            <w:shd w:fill="064B66"/>
          </w:tcPr>
          <w:p>
            <w:pPr>
              <w:spacing w:before="0" w:after="0" w:line="245" w:lineRule="auto"/>
              <w:jc w:val="center"/>
            </w:pPr>
            <w:r>
              <w:rPr>
                <w:rFonts w:ascii="Aptos" w:hAnsi="Aptos" w:eastAsia="Aptos"/>
                <w:b/>
                <w:color w:val="FFFFFF"/>
                <w:sz w:val="16"/>
              </w:rPr>
              <w:t>Case</w:t>
            </w:r>
          </w:p>
        </w:tc>
        <w:tc>
          <w:tcPr>
            <w:tcW w:type="dxa" w:w="849"/>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Score class</w:t>
            </w:r>
          </w:p>
        </w:tc>
        <w:tc>
          <w:tcPr>
            <w:tcW w:type="dxa" w:w="1528"/>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Rated credits / slots</w:t>
            </w:r>
          </w:p>
        </w:tc>
        <w:tc>
          <w:tcPr>
            <w:tcW w:type="dxa" w:w="2547"/>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Missing credits</w:t>
            </w:r>
          </w:p>
        </w:tc>
        <w:tc>
          <w:tcPr>
            <w:tcW w:type="dxa" w:w="1104"/>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Mean credit</w:t>
            </w:r>
          </w:p>
        </w:tc>
        <w:tc>
          <w:tcPr>
            <w:tcW w:type="dxa" w:w="2547"/>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Credit 0 / 0.5 / 1</w:t>
            </w:r>
          </w:p>
        </w:tc>
      </w:tr>
      <w:tr>
        <w:trPr>
          <w:cantSplit/>
        </w:trPr>
        <w:tc>
          <w:tcPr>
            <w:tcW w:type="dxa" w:w="71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A1</w:t>
            </w:r>
          </w:p>
        </w:tc>
        <w:tc>
          <w:tcPr>
            <w:tcW w:type="dxa" w:w="849"/>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M01</w:t>
            </w:r>
          </w:p>
        </w:tc>
        <w:tc>
          <w:tcPr>
            <w:tcW w:type="dxa" w:w="84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Common</w:t>
            </w:r>
          </w:p>
        </w:tc>
        <w:tc>
          <w:tcPr>
            <w:tcW w:type="dxa" w:w="15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280 / 280</w:t>
            </w:r>
          </w:p>
        </w:tc>
        <w:tc>
          <w:tcPr>
            <w:tcW w:type="dxa" w:w="254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0</w:t>
            </w:r>
          </w:p>
        </w:tc>
        <w:tc>
          <w:tcPr>
            <w:tcW w:type="dxa" w:w="110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0.704</w:t>
            </w:r>
          </w:p>
        </w:tc>
        <w:tc>
          <w:tcPr>
            <w:tcW w:type="dxa" w:w="254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29 / 108 / 143</w:t>
            </w:r>
          </w:p>
        </w:tc>
      </w:tr>
      <w:tr>
        <w:trPr>
          <w:cantSplit/>
        </w:trPr>
        <w:tc>
          <w:tcPr>
            <w:tcW w:type="dxa" w:w="71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A1</w:t>
            </w:r>
          </w:p>
        </w:tc>
        <w:tc>
          <w:tcPr>
            <w:tcW w:type="dxa" w:w="849"/>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M01</w:t>
            </w:r>
          </w:p>
        </w:tc>
        <w:tc>
          <w:tcPr>
            <w:tcW w:type="dxa" w:w="84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Case-specific</w:t>
            </w:r>
          </w:p>
        </w:tc>
        <w:tc>
          <w:tcPr>
            <w:tcW w:type="dxa" w:w="15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120 / 120</w:t>
            </w:r>
          </w:p>
        </w:tc>
        <w:tc>
          <w:tcPr>
            <w:tcW w:type="dxa" w:w="254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0</w:t>
            </w:r>
          </w:p>
        </w:tc>
        <w:tc>
          <w:tcPr>
            <w:tcW w:type="dxa" w:w="110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0.875</w:t>
            </w:r>
          </w:p>
        </w:tc>
        <w:tc>
          <w:tcPr>
            <w:tcW w:type="dxa" w:w="254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5 / 20 / 95</w:t>
            </w:r>
          </w:p>
        </w:tc>
      </w:tr>
      <w:tr>
        <w:trPr>
          <w:cantSplit/>
        </w:trPr>
        <w:tc>
          <w:tcPr>
            <w:tcW w:type="dxa" w:w="71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A1</w:t>
            </w:r>
          </w:p>
        </w:tc>
        <w:tc>
          <w:tcPr>
            <w:tcW w:type="dxa" w:w="849"/>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M03</w:t>
            </w:r>
          </w:p>
        </w:tc>
        <w:tc>
          <w:tcPr>
            <w:tcW w:type="dxa" w:w="84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Common</w:t>
            </w:r>
          </w:p>
        </w:tc>
        <w:tc>
          <w:tcPr>
            <w:tcW w:type="dxa" w:w="15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322 / 322</w:t>
            </w:r>
          </w:p>
        </w:tc>
        <w:tc>
          <w:tcPr>
            <w:tcW w:type="dxa" w:w="254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0</w:t>
            </w:r>
          </w:p>
        </w:tc>
        <w:tc>
          <w:tcPr>
            <w:tcW w:type="dxa" w:w="110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0.599</w:t>
            </w:r>
          </w:p>
        </w:tc>
        <w:tc>
          <w:tcPr>
            <w:tcW w:type="dxa" w:w="254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95 / 68 / 159</w:t>
            </w:r>
          </w:p>
        </w:tc>
      </w:tr>
      <w:tr>
        <w:trPr>
          <w:cantSplit/>
        </w:trPr>
        <w:tc>
          <w:tcPr>
            <w:tcW w:type="dxa" w:w="71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A1</w:t>
            </w:r>
          </w:p>
        </w:tc>
        <w:tc>
          <w:tcPr>
            <w:tcW w:type="dxa" w:w="849"/>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M03</w:t>
            </w:r>
          </w:p>
        </w:tc>
        <w:tc>
          <w:tcPr>
            <w:tcW w:type="dxa" w:w="84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Case-specific</w:t>
            </w:r>
          </w:p>
        </w:tc>
        <w:tc>
          <w:tcPr>
            <w:tcW w:type="dxa" w:w="15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78 / 138</w:t>
            </w:r>
          </w:p>
        </w:tc>
        <w:tc>
          <w:tcPr>
            <w:tcW w:type="dxa" w:w="254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60</w:t>
            </w:r>
          </w:p>
        </w:tc>
        <w:tc>
          <w:tcPr>
            <w:tcW w:type="dxa" w:w="110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0.058</w:t>
            </w:r>
          </w:p>
        </w:tc>
        <w:tc>
          <w:tcPr>
            <w:tcW w:type="dxa" w:w="254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69 / 9 / 0</w:t>
            </w:r>
          </w:p>
        </w:tc>
      </w:tr>
      <w:tr>
        <w:trPr>
          <w:cantSplit/>
        </w:trPr>
        <w:tc>
          <w:tcPr>
            <w:tcW w:type="dxa" w:w="71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A2</w:t>
            </w:r>
          </w:p>
        </w:tc>
        <w:tc>
          <w:tcPr>
            <w:tcW w:type="dxa" w:w="849"/>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M01</w:t>
            </w:r>
          </w:p>
        </w:tc>
        <w:tc>
          <w:tcPr>
            <w:tcW w:type="dxa" w:w="84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Common</w:t>
            </w:r>
          </w:p>
        </w:tc>
        <w:tc>
          <w:tcPr>
            <w:tcW w:type="dxa" w:w="15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279 / 280</w:t>
            </w:r>
          </w:p>
        </w:tc>
        <w:tc>
          <w:tcPr>
            <w:tcW w:type="dxa" w:w="254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w:t>
            </w:r>
          </w:p>
        </w:tc>
        <w:tc>
          <w:tcPr>
            <w:tcW w:type="dxa" w:w="110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0.683</w:t>
            </w:r>
          </w:p>
        </w:tc>
        <w:tc>
          <w:tcPr>
            <w:tcW w:type="dxa" w:w="254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41 / 95 / 143</w:t>
            </w:r>
          </w:p>
        </w:tc>
      </w:tr>
      <w:tr>
        <w:trPr>
          <w:cantSplit/>
        </w:trPr>
        <w:tc>
          <w:tcPr>
            <w:tcW w:type="dxa" w:w="71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A2</w:t>
            </w:r>
          </w:p>
        </w:tc>
        <w:tc>
          <w:tcPr>
            <w:tcW w:type="dxa" w:w="849"/>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M01</w:t>
            </w:r>
          </w:p>
        </w:tc>
        <w:tc>
          <w:tcPr>
            <w:tcW w:type="dxa" w:w="84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Case-specific</w:t>
            </w:r>
          </w:p>
        </w:tc>
        <w:tc>
          <w:tcPr>
            <w:tcW w:type="dxa" w:w="15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120 / 120</w:t>
            </w:r>
          </w:p>
        </w:tc>
        <w:tc>
          <w:tcPr>
            <w:tcW w:type="dxa" w:w="254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0</w:t>
            </w:r>
          </w:p>
        </w:tc>
        <w:tc>
          <w:tcPr>
            <w:tcW w:type="dxa" w:w="110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0.854</w:t>
            </w:r>
          </w:p>
        </w:tc>
        <w:tc>
          <w:tcPr>
            <w:tcW w:type="dxa" w:w="254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 / 29 / 88</w:t>
            </w:r>
          </w:p>
        </w:tc>
      </w:tr>
      <w:tr>
        <w:trPr>
          <w:cantSplit/>
        </w:trPr>
        <w:tc>
          <w:tcPr>
            <w:tcW w:type="dxa" w:w="71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A2</w:t>
            </w:r>
          </w:p>
        </w:tc>
        <w:tc>
          <w:tcPr>
            <w:tcW w:type="dxa" w:w="849"/>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M03</w:t>
            </w:r>
          </w:p>
        </w:tc>
        <w:tc>
          <w:tcPr>
            <w:tcW w:type="dxa" w:w="84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Common</w:t>
            </w:r>
          </w:p>
        </w:tc>
        <w:tc>
          <w:tcPr>
            <w:tcW w:type="dxa" w:w="15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322 / 322</w:t>
            </w:r>
          </w:p>
        </w:tc>
        <w:tc>
          <w:tcPr>
            <w:tcW w:type="dxa" w:w="254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0</w:t>
            </w:r>
          </w:p>
        </w:tc>
        <w:tc>
          <w:tcPr>
            <w:tcW w:type="dxa" w:w="110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0.592</w:t>
            </w:r>
          </w:p>
        </w:tc>
        <w:tc>
          <w:tcPr>
            <w:tcW w:type="dxa" w:w="254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99 / 65 / 158</w:t>
            </w:r>
          </w:p>
        </w:tc>
      </w:tr>
      <w:tr>
        <w:trPr>
          <w:cantSplit/>
        </w:trPr>
        <w:tc>
          <w:tcPr>
            <w:tcW w:type="dxa" w:w="71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A2</w:t>
            </w:r>
          </w:p>
        </w:tc>
        <w:tc>
          <w:tcPr>
            <w:tcW w:type="dxa" w:w="849"/>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M03</w:t>
            </w:r>
          </w:p>
        </w:tc>
        <w:tc>
          <w:tcPr>
            <w:tcW w:type="dxa" w:w="84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Case-specific</w:t>
            </w:r>
          </w:p>
        </w:tc>
        <w:tc>
          <w:tcPr>
            <w:tcW w:type="dxa" w:w="15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91 / 138</w:t>
            </w:r>
          </w:p>
        </w:tc>
        <w:tc>
          <w:tcPr>
            <w:tcW w:type="dxa" w:w="254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47</w:t>
            </w:r>
          </w:p>
        </w:tc>
        <w:tc>
          <w:tcPr>
            <w:tcW w:type="dxa" w:w="110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0.038</w:t>
            </w:r>
          </w:p>
        </w:tc>
        <w:tc>
          <w:tcPr>
            <w:tcW w:type="dxa" w:w="254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84 / 7 / 0</w:t>
            </w:r>
          </w:p>
        </w:tc>
      </w:tr>
    </w:tbl>
    <w:p>
      <w:pPr>
        <w:spacing w:after="20"/>
      </w:pPr>
    </w:p>
    <w:p>
      <w:r>
        <w:rPr>
          <w:rFonts w:ascii="Aptos" w:hAnsi="Aptos" w:eastAsia="Aptos"/>
          <w:color w:val="20313A"/>
          <w:sz w:val="20"/>
        </w:rPr>
        <w:t>M03 case-specific means describe nonmissing item credits only. All 23 M03 locks per evaluator have at least one missing item in this class, so no complete A-only Specific30 subtotal is estimable. [EA-01 v1.3]</w:t>
      </w:r>
    </w:p>
    <w:p>
      <w:pPr>
        <w:pStyle w:val="Heading2"/>
      </w:pPr>
      <w:r>
        <w:rPr>
          <w:rFonts w:ascii="Aptos" w:hAnsi="Aptos" w:eastAsia="Aptos"/>
          <w:color w:val="087E9B"/>
          <w:sz w:val="23"/>
        </w:rPr>
        <w:t>2.3 Complete A-only exploratory subtotals</w:t>
      </w:r>
    </w:p>
    <w:p>
      <w:r>
        <w:rPr>
          <w:rFonts w:ascii="Aptos" w:hAnsi="Aptos" w:eastAsia="Aptos"/>
          <w:color w:val="20313A"/>
          <w:sz w:val="20"/>
        </w:rPr>
        <w:t>The following sums use only complete frozen item sets. Common70 is computed only when all 14 common credits are present; Specific30 only when all six case-specific credits are present. These are separate A-only exploratory subtotals; the analysis does not combine them or add penalties or operational predicates.</w:t>
      </w:r>
    </w:p>
    <w:tbl>
      <w:tblPr>
        <w:tblW w:type="auto" w:w="0"/>
        <w:jc w:val="center"/>
        <w:tblLayout w:type="fixed"/>
        <w:tblLook w:firstColumn="1" w:firstRow="1" w:lastColumn="0" w:lastRow="0" w:noHBand="0" w:noVBand="1" w:val="04A0"/>
        <w:tblBorders>
          <w:top w:val="single" w:sz="5" w:color="C8D9DE"/>
          <w:left w:val="single" w:sz="5" w:color="C8D9DE"/>
          <w:bottom w:val="single" w:sz="5" w:color="C8D9DE"/>
          <w:right w:val="single" w:sz="5" w:color="C8D9DE"/>
          <w:insideH w:val="single" w:sz="5" w:color="C8D9DE"/>
          <w:insideV w:val="single" w:sz="5" w:color="C8D9DE"/>
        </w:tblBorders>
      </w:tblPr>
      <w:tblGrid>
        <w:gridCol w:w="619"/>
        <w:gridCol w:w="696"/>
        <w:gridCol w:w="774"/>
        <w:gridCol w:w="1393"/>
        <w:gridCol w:w="3328"/>
        <w:gridCol w:w="3328"/>
      </w:tblGrid>
      <w:tr>
        <w:trPr>
          <w:cantSplit/>
          <w:tblHeader w:val="true"/>
        </w:trPr>
        <w:tc>
          <w:tcPr>
            <w:tcW w:type="dxa" w:w="619"/>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Evaluator</w:t>
            </w:r>
          </w:p>
        </w:tc>
        <w:tc>
          <w:tcPr>
            <w:tcW w:type="dxa" w:w="696"/>
            <w:vAlign w:val="center"/>
            <w:tcMar>
              <w:top w:w="90" w:type="dxa"/>
              <w:start w:w="100" w:type="dxa"/>
              <w:bottom w:w="90" w:type="dxa"/>
              <w:end w:w="100" w:type="dxa"/>
            </w:tcMar>
            <w:shd w:fill="064B66"/>
          </w:tcPr>
          <w:p>
            <w:pPr>
              <w:spacing w:before="0" w:after="0" w:line="245" w:lineRule="auto"/>
              <w:jc w:val="center"/>
            </w:pPr>
            <w:r>
              <w:rPr>
                <w:rFonts w:ascii="Aptos" w:hAnsi="Aptos" w:eastAsia="Aptos"/>
                <w:b/>
                <w:color w:val="FFFFFF"/>
                <w:sz w:val="16"/>
              </w:rPr>
              <w:t>Case</w:t>
            </w:r>
          </w:p>
        </w:tc>
        <w:tc>
          <w:tcPr>
            <w:tcW w:type="dxa" w:w="774"/>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A-only component</w:t>
            </w:r>
          </w:p>
        </w:tc>
        <w:tc>
          <w:tcPr>
            <w:tcW w:type="dxa" w:w="1393"/>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Complete / locked records</w:t>
            </w:r>
          </w:p>
        </w:tc>
        <w:tc>
          <w:tcPr>
            <w:tcW w:type="dxa" w:w="3328"/>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Mean subtotal</w:t>
            </w:r>
          </w:p>
        </w:tc>
        <w:tc>
          <w:tcPr>
            <w:tcW w:type="dxa" w:w="3328"/>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SD</w:t>
            </w:r>
          </w:p>
        </w:tc>
      </w:tr>
      <w:tr>
        <w:trPr>
          <w:cantSplit/>
        </w:trPr>
        <w:tc>
          <w:tcPr>
            <w:tcW w:type="dxa" w:w="61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A1</w:t>
            </w:r>
          </w:p>
        </w:tc>
        <w:tc>
          <w:tcPr>
            <w:tcW w:type="dxa" w:w="696"/>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M01</w:t>
            </w:r>
          </w:p>
        </w:tc>
        <w:tc>
          <w:tcPr>
            <w:tcW w:type="dxa" w:w="77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Common70</w:t>
            </w:r>
          </w:p>
        </w:tc>
        <w:tc>
          <w:tcPr>
            <w:tcW w:type="dxa" w:w="139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20 / 22</w:t>
            </w:r>
          </w:p>
        </w:tc>
        <w:tc>
          <w:tcPr>
            <w:tcW w:type="dxa" w:w="33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49.250</w:t>
            </w:r>
          </w:p>
        </w:tc>
        <w:tc>
          <w:tcPr>
            <w:tcW w:type="dxa" w:w="33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8.236</w:t>
            </w:r>
          </w:p>
        </w:tc>
      </w:tr>
      <w:tr>
        <w:trPr>
          <w:cantSplit/>
        </w:trPr>
        <w:tc>
          <w:tcPr>
            <w:tcW w:type="dxa" w:w="61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A1</w:t>
            </w:r>
          </w:p>
        </w:tc>
        <w:tc>
          <w:tcPr>
            <w:tcW w:type="dxa" w:w="696"/>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M01</w:t>
            </w:r>
          </w:p>
        </w:tc>
        <w:tc>
          <w:tcPr>
            <w:tcW w:type="dxa" w:w="77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Specific30</w:t>
            </w:r>
          </w:p>
        </w:tc>
        <w:tc>
          <w:tcPr>
            <w:tcW w:type="dxa" w:w="139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20 / 22</w:t>
            </w:r>
          </w:p>
        </w:tc>
        <w:tc>
          <w:tcPr>
            <w:tcW w:type="dxa" w:w="33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26.250</w:t>
            </w:r>
          </w:p>
        </w:tc>
        <w:tc>
          <w:tcPr>
            <w:tcW w:type="dxa" w:w="33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2.980</w:t>
            </w:r>
          </w:p>
        </w:tc>
      </w:tr>
      <w:tr>
        <w:trPr>
          <w:cantSplit/>
        </w:trPr>
        <w:tc>
          <w:tcPr>
            <w:tcW w:type="dxa" w:w="61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A1</w:t>
            </w:r>
          </w:p>
        </w:tc>
        <w:tc>
          <w:tcPr>
            <w:tcW w:type="dxa" w:w="696"/>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M03</w:t>
            </w:r>
          </w:p>
        </w:tc>
        <w:tc>
          <w:tcPr>
            <w:tcW w:type="dxa" w:w="77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Common70</w:t>
            </w:r>
          </w:p>
        </w:tc>
        <w:tc>
          <w:tcPr>
            <w:tcW w:type="dxa" w:w="139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23 / 23</w:t>
            </w:r>
          </w:p>
        </w:tc>
        <w:tc>
          <w:tcPr>
            <w:tcW w:type="dxa" w:w="33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41.957</w:t>
            </w:r>
          </w:p>
        </w:tc>
        <w:tc>
          <w:tcPr>
            <w:tcW w:type="dxa" w:w="33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5.837</w:t>
            </w:r>
          </w:p>
        </w:tc>
      </w:tr>
      <w:tr>
        <w:trPr>
          <w:cantSplit/>
        </w:trPr>
        <w:tc>
          <w:tcPr>
            <w:tcW w:type="dxa" w:w="61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A1</w:t>
            </w:r>
          </w:p>
        </w:tc>
        <w:tc>
          <w:tcPr>
            <w:tcW w:type="dxa" w:w="696"/>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M03</w:t>
            </w:r>
          </w:p>
        </w:tc>
        <w:tc>
          <w:tcPr>
            <w:tcW w:type="dxa" w:w="77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Specific30</w:t>
            </w:r>
          </w:p>
        </w:tc>
        <w:tc>
          <w:tcPr>
            <w:tcW w:type="dxa" w:w="139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0 / 23</w:t>
            </w:r>
          </w:p>
        </w:tc>
        <w:tc>
          <w:tcPr>
            <w:tcW w:type="dxa" w:w="33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Not estimable</w:t>
            </w:r>
          </w:p>
        </w:tc>
        <w:tc>
          <w:tcPr>
            <w:tcW w:type="dxa" w:w="33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w:t>
            </w:r>
          </w:p>
        </w:tc>
      </w:tr>
      <w:tr>
        <w:trPr>
          <w:cantSplit/>
        </w:trPr>
        <w:tc>
          <w:tcPr>
            <w:tcW w:type="dxa" w:w="61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A2</w:t>
            </w:r>
          </w:p>
        </w:tc>
        <w:tc>
          <w:tcPr>
            <w:tcW w:type="dxa" w:w="696"/>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M01</w:t>
            </w:r>
          </w:p>
        </w:tc>
        <w:tc>
          <w:tcPr>
            <w:tcW w:type="dxa" w:w="77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Common70</w:t>
            </w:r>
          </w:p>
        </w:tc>
        <w:tc>
          <w:tcPr>
            <w:tcW w:type="dxa" w:w="139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19 / 22</w:t>
            </w:r>
          </w:p>
        </w:tc>
        <w:tc>
          <w:tcPr>
            <w:tcW w:type="dxa" w:w="33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47.105</w:t>
            </w:r>
          </w:p>
        </w:tc>
        <w:tc>
          <w:tcPr>
            <w:tcW w:type="dxa" w:w="33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6.885</w:t>
            </w:r>
          </w:p>
        </w:tc>
      </w:tr>
      <w:tr>
        <w:trPr>
          <w:cantSplit/>
        </w:trPr>
        <w:tc>
          <w:tcPr>
            <w:tcW w:type="dxa" w:w="61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A2</w:t>
            </w:r>
          </w:p>
        </w:tc>
        <w:tc>
          <w:tcPr>
            <w:tcW w:type="dxa" w:w="696"/>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M01</w:t>
            </w:r>
          </w:p>
        </w:tc>
        <w:tc>
          <w:tcPr>
            <w:tcW w:type="dxa" w:w="77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Specific30</w:t>
            </w:r>
          </w:p>
        </w:tc>
        <w:tc>
          <w:tcPr>
            <w:tcW w:type="dxa" w:w="139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20 / 22</w:t>
            </w:r>
          </w:p>
        </w:tc>
        <w:tc>
          <w:tcPr>
            <w:tcW w:type="dxa" w:w="33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25.625</w:t>
            </w:r>
          </w:p>
        </w:tc>
        <w:tc>
          <w:tcPr>
            <w:tcW w:type="dxa" w:w="33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3.429</w:t>
            </w:r>
          </w:p>
        </w:tc>
      </w:tr>
      <w:tr>
        <w:trPr>
          <w:cantSplit/>
        </w:trPr>
        <w:tc>
          <w:tcPr>
            <w:tcW w:type="dxa" w:w="61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A2</w:t>
            </w:r>
          </w:p>
        </w:tc>
        <w:tc>
          <w:tcPr>
            <w:tcW w:type="dxa" w:w="696"/>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M03</w:t>
            </w:r>
          </w:p>
        </w:tc>
        <w:tc>
          <w:tcPr>
            <w:tcW w:type="dxa" w:w="77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Common70</w:t>
            </w:r>
          </w:p>
        </w:tc>
        <w:tc>
          <w:tcPr>
            <w:tcW w:type="dxa" w:w="139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23 / 23</w:t>
            </w:r>
          </w:p>
        </w:tc>
        <w:tc>
          <w:tcPr>
            <w:tcW w:type="dxa" w:w="33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41.413</w:t>
            </w:r>
          </w:p>
        </w:tc>
        <w:tc>
          <w:tcPr>
            <w:tcW w:type="dxa" w:w="33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4.816</w:t>
            </w:r>
          </w:p>
        </w:tc>
      </w:tr>
      <w:tr>
        <w:trPr>
          <w:cantSplit/>
        </w:trPr>
        <w:tc>
          <w:tcPr>
            <w:tcW w:type="dxa" w:w="61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A2</w:t>
            </w:r>
          </w:p>
        </w:tc>
        <w:tc>
          <w:tcPr>
            <w:tcW w:type="dxa" w:w="696"/>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M03</w:t>
            </w:r>
          </w:p>
        </w:tc>
        <w:tc>
          <w:tcPr>
            <w:tcW w:type="dxa" w:w="77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Specific30</w:t>
            </w:r>
          </w:p>
        </w:tc>
        <w:tc>
          <w:tcPr>
            <w:tcW w:type="dxa" w:w="139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0 / 23</w:t>
            </w:r>
          </w:p>
        </w:tc>
        <w:tc>
          <w:tcPr>
            <w:tcW w:type="dxa" w:w="33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Not estimable</w:t>
            </w:r>
          </w:p>
        </w:tc>
        <w:tc>
          <w:tcPr>
            <w:tcW w:type="dxa" w:w="33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w:t>
            </w:r>
          </w:p>
        </w:tc>
      </w:tr>
    </w:tbl>
    <w:p>
      <w:pPr>
        <w:spacing w:after="20"/>
      </w:pPr>
    </w:p>
    <w:p>
      <w:r>
        <w:rPr>
          <w:rFonts w:ascii="Aptos" w:hAnsi="Aptos" w:eastAsia="Aptos"/>
          <w:color w:val="20313A"/>
          <w:sz w:val="20"/>
        </w:rPr>
        <w:t>These subtotals summarize recorded A ratings and do not complete the official full score or the original S4/E4 procedure. [EA-01 v1.3; S02, S04]</w:t>
      </w:r>
    </w:p>
    <w:p>
      <w:pPr>
        <w:pStyle w:val="Heading2"/>
      </w:pPr>
      <w:r>
        <w:rPr>
          <w:rFonts w:ascii="Aptos" w:hAnsi="Aptos" w:eastAsia="Aptos"/>
          <w:color w:val="087E9B"/>
          <w:sz w:val="23"/>
        </w:rPr>
        <w:t>2.4 Paired score-credit agreement</w:t>
      </w:r>
    </w:p>
    <w:p>
      <w:r>
        <w:rPr>
          <w:rFonts w:ascii="Aptos" w:hAnsi="Aptos" w:eastAsia="Aptos"/>
          <w:color w:val="20313A"/>
          <w:sz w:val="20"/>
        </w:rPr>
        <w:t>Agreement below is exact agreement on credits for the same item and neutral output. It does not examine supporting evidence anchors, so it is not the evidence-compatible S4 agreement rule. Null credits are excluded from the denominator and reported separately.</w:t>
      </w:r>
    </w:p>
    <w:tbl>
      <w:tblPr>
        <w:tblW w:type="auto" w:w="0"/>
        <w:jc w:val="center"/>
        <w:tblLayout w:type="fixed"/>
        <w:tblLook w:firstColumn="1" w:firstRow="1" w:lastColumn="0" w:lastRow="0" w:noHBand="0" w:noVBand="1" w:val="04A0"/>
        <w:tblBorders>
          <w:top w:val="single" w:sz="5" w:color="C8D9DE"/>
          <w:left w:val="single" w:sz="5" w:color="C8D9DE"/>
          <w:bottom w:val="single" w:sz="5" w:color="C8D9DE"/>
          <w:right w:val="single" w:sz="5" w:color="C8D9DE"/>
          <w:insideH w:val="single" w:sz="5" w:color="C8D9DE"/>
          <w:insideV w:val="single" w:sz="5" w:color="C8D9DE"/>
        </w:tblBorders>
      </w:tblPr>
      <w:tblGrid>
        <w:gridCol w:w="652"/>
        <w:gridCol w:w="1086"/>
        <w:gridCol w:w="1665"/>
        <w:gridCol w:w="1376"/>
        <w:gridCol w:w="941"/>
        <w:gridCol w:w="1231"/>
        <w:gridCol w:w="1593"/>
        <w:gridCol w:w="1593"/>
      </w:tblGrid>
      <w:tr>
        <w:trPr>
          <w:cantSplit/>
          <w:tblHeader w:val="true"/>
        </w:trPr>
        <w:tc>
          <w:tcPr>
            <w:tcW w:type="dxa" w:w="652"/>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Case</w:t>
            </w:r>
          </w:p>
        </w:tc>
        <w:tc>
          <w:tcPr>
            <w:tcW w:type="dxa" w:w="1086"/>
            <w:vAlign w:val="center"/>
            <w:tcMar>
              <w:top w:w="90" w:type="dxa"/>
              <w:start w:w="100" w:type="dxa"/>
              <w:bottom w:w="90" w:type="dxa"/>
              <w:end w:w="100" w:type="dxa"/>
            </w:tcMar>
            <w:shd w:fill="064B66"/>
          </w:tcPr>
          <w:p>
            <w:pPr>
              <w:spacing w:before="0" w:after="0" w:line="245" w:lineRule="auto"/>
              <w:jc w:val="center"/>
            </w:pPr>
            <w:r>
              <w:rPr>
                <w:rFonts w:ascii="Aptos" w:hAnsi="Aptos" w:eastAsia="Aptos"/>
                <w:b/>
                <w:color w:val="FFFFFF"/>
                <w:sz w:val="16"/>
              </w:rPr>
              <w:t>Item class</w:t>
            </w:r>
          </w:p>
        </w:tc>
        <w:tc>
          <w:tcPr>
            <w:tcW w:type="dxa" w:w="1665"/>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Paired IDs</w:t>
            </w:r>
          </w:p>
        </w:tc>
        <w:tc>
          <w:tcPr>
            <w:tcW w:type="dxa" w:w="1376"/>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Co-rated item pairs</w:t>
            </w:r>
          </w:p>
        </w:tc>
        <w:tc>
          <w:tcPr>
            <w:tcW w:type="dxa" w:w="941"/>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Exact matches</w:t>
            </w:r>
          </w:p>
        </w:tc>
        <w:tc>
          <w:tcPr>
            <w:tcW w:type="dxa" w:w="1231"/>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Adjacent differences</w:t>
            </w:r>
          </w:p>
        </w:tc>
        <w:tc>
          <w:tcPr>
            <w:tcW w:type="dxa" w:w="1593"/>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Full-scale differences</w:t>
            </w:r>
          </w:p>
        </w:tc>
        <w:tc>
          <w:tcPr>
            <w:tcW w:type="dxa" w:w="1593"/>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Exact agreement</w:t>
            </w:r>
          </w:p>
        </w:tc>
      </w:tr>
      <w:tr>
        <w:trPr>
          <w:cantSplit/>
        </w:trPr>
        <w:tc>
          <w:tcPr>
            <w:tcW w:type="dxa" w:w="652"/>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M01</w:t>
            </w:r>
          </w:p>
        </w:tc>
        <w:tc>
          <w:tcPr>
            <w:tcW w:type="dxa" w:w="1086"/>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Common</w:t>
            </w:r>
          </w:p>
        </w:tc>
        <w:tc>
          <w:tcPr>
            <w:tcW w:type="dxa" w:w="1665"/>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20</w:t>
            </w:r>
          </w:p>
        </w:tc>
        <w:tc>
          <w:tcPr>
            <w:tcW w:type="dxa" w:w="137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279</w:t>
            </w:r>
          </w:p>
        </w:tc>
        <w:tc>
          <w:tcPr>
            <w:tcW w:type="dxa" w:w="941"/>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231</w:t>
            </w:r>
          </w:p>
        </w:tc>
        <w:tc>
          <w:tcPr>
            <w:tcW w:type="dxa" w:w="1231"/>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48</w:t>
            </w:r>
          </w:p>
        </w:tc>
        <w:tc>
          <w:tcPr>
            <w:tcW w:type="dxa" w:w="159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0</w:t>
            </w:r>
          </w:p>
        </w:tc>
        <w:tc>
          <w:tcPr>
            <w:tcW w:type="dxa" w:w="159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82.8%</w:t>
            </w:r>
          </w:p>
        </w:tc>
      </w:tr>
      <w:tr>
        <w:trPr>
          <w:cantSplit/>
        </w:trPr>
        <w:tc>
          <w:tcPr>
            <w:tcW w:type="dxa" w:w="652"/>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M01</w:t>
            </w:r>
          </w:p>
        </w:tc>
        <w:tc>
          <w:tcPr>
            <w:tcW w:type="dxa" w:w="1086"/>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Case-specific</w:t>
            </w:r>
          </w:p>
        </w:tc>
        <w:tc>
          <w:tcPr>
            <w:tcW w:type="dxa" w:w="1665"/>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20</w:t>
            </w:r>
          </w:p>
        </w:tc>
        <w:tc>
          <w:tcPr>
            <w:tcW w:type="dxa" w:w="137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120</w:t>
            </w:r>
          </w:p>
        </w:tc>
        <w:tc>
          <w:tcPr>
            <w:tcW w:type="dxa" w:w="941"/>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98</w:t>
            </w:r>
          </w:p>
        </w:tc>
        <w:tc>
          <w:tcPr>
            <w:tcW w:type="dxa" w:w="1231"/>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21</w:t>
            </w:r>
          </w:p>
        </w:tc>
        <w:tc>
          <w:tcPr>
            <w:tcW w:type="dxa" w:w="159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w:t>
            </w:r>
          </w:p>
        </w:tc>
        <w:tc>
          <w:tcPr>
            <w:tcW w:type="dxa" w:w="159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81.7%</w:t>
            </w:r>
          </w:p>
        </w:tc>
      </w:tr>
      <w:tr>
        <w:trPr>
          <w:cantSplit/>
        </w:trPr>
        <w:tc>
          <w:tcPr>
            <w:tcW w:type="dxa" w:w="652"/>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M03</w:t>
            </w:r>
          </w:p>
        </w:tc>
        <w:tc>
          <w:tcPr>
            <w:tcW w:type="dxa" w:w="1086"/>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Common</w:t>
            </w:r>
          </w:p>
        </w:tc>
        <w:tc>
          <w:tcPr>
            <w:tcW w:type="dxa" w:w="1665"/>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23</w:t>
            </w:r>
          </w:p>
        </w:tc>
        <w:tc>
          <w:tcPr>
            <w:tcW w:type="dxa" w:w="137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322</w:t>
            </w:r>
          </w:p>
        </w:tc>
        <w:tc>
          <w:tcPr>
            <w:tcW w:type="dxa" w:w="941"/>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270</w:t>
            </w:r>
          </w:p>
        </w:tc>
        <w:tc>
          <w:tcPr>
            <w:tcW w:type="dxa" w:w="1231"/>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49</w:t>
            </w:r>
          </w:p>
        </w:tc>
        <w:tc>
          <w:tcPr>
            <w:tcW w:type="dxa" w:w="159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w:t>
            </w:r>
          </w:p>
        </w:tc>
        <w:tc>
          <w:tcPr>
            <w:tcW w:type="dxa" w:w="159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83.9%</w:t>
            </w:r>
          </w:p>
        </w:tc>
      </w:tr>
      <w:tr>
        <w:trPr>
          <w:cantSplit/>
        </w:trPr>
        <w:tc>
          <w:tcPr>
            <w:tcW w:type="dxa" w:w="652"/>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M03</w:t>
            </w:r>
          </w:p>
        </w:tc>
        <w:tc>
          <w:tcPr>
            <w:tcW w:type="dxa" w:w="1086"/>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Case-specific</w:t>
            </w:r>
          </w:p>
        </w:tc>
        <w:tc>
          <w:tcPr>
            <w:tcW w:type="dxa" w:w="1665"/>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23</w:t>
            </w:r>
          </w:p>
        </w:tc>
        <w:tc>
          <w:tcPr>
            <w:tcW w:type="dxa" w:w="137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76</w:t>
            </w:r>
          </w:p>
        </w:tc>
        <w:tc>
          <w:tcPr>
            <w:tcW w:type="dxa" w:w="941"/>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71</w:t>
            </w:r>
          </w:p>
        </w:tc>
        <w:tc>
          <w:tcPr>
            <w:tcW w:type="dxa" w:w="1231"/>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5</w:t>
            </w:r>
          </w:p>
        </w:tc>
        <w:tc>
          <w:tcPr>
            <w:tcW w:type="dxa" w:w="159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0</w:t>
            </w:r>
          </w:p>
        </w:tc>
        <w:tc>
          <w:tcPr>
            <w:tcW w:type="dxa" w:w="159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93.4%</w:t>
            </w:r>
          </w:p>
        </w:tc>
      </w:tr>
    </w:tbl>
    <w:p>
      <w:pPr>
        <w:spacing w:after="20"/>
      </w:pPr>
    </w:p>
    <w:p>
      <w:r>
        <w:rPr>
          <w:rFonts w:ascii="Aptos" w:hAnsi="Aptos" w:eastAsia="Aptos"/>
          <w:color w:val="20313A"/>
          <w:sz w:val="20"/>
        </w:rPr>
        <w:t>There is one null common-item pair in M01 and 62 null case-specific item pairs in M03. No disagreement is adjudicated, and the two evaluator ratings are never averaged into a consensus score. [EA-01 v1.3]</w:t>
      </w:r>
    </w:p>
    <w:p>
      <w:pPr>
        <w:pStyle w:val="Heading2"/>
      </w:pPr>
      <w:r>
        <w:rPr>
          <w:rFonts w:ascii="Aptos" w:hAnsi="Aptos" w:eastAsia="Aptos"/>
          <w:color w:val="087E9B"/>
          <w:sz w:val="23"/>
        </w:rPr>
        <w:t>2.5 Original C-SCREEN record</w:t>
      </w:r>
    </w:p>
    <w:p>
      <w:r>
        <w:rPr>
          <w:rFonts w:ascii="Aptos" w:hAnsi="Aptos" w:eastAsia="Aptos"/>
          <w:color w:val="20313A"/>
          <w:sz w:val="20"/>
        </w:rPr>
        <w:t>The fixed C accounting contains 133 accepted C_SCREEN locks, including one preserved baseline screen and 132 subsequently accepted screens. Their classifications are 63 COMPATIBLE_IDENTICAL, three COMPATIBLE_ADJACENT_LOWER, and 67 MATERIAL_DISPUTE. All are screening classifications. The 67 material-dispute records identify components requiring further resolution; they do not identify 67 final adjudications, 67 erroneous answers, or 67 independent experimental failures. [S12, S14–S15]</w:t>
      </w:r>
    </w:p>
    <w:tbl>
      <w:tblPr>
        <w:tblW w:type="auto" w:w="0"/>
        <w:jc w:val="center"/>
        <w:tblLayout w:type="fixed"/>
        <w:tblLook w:firstColumn="1" w:firstRow="1" w:lastColumn="0" w:lastRow="0" w:noHBand="0" w:noVBand="1" w:val="04A0"/>
        <w:tblBorders>
          <w:top w:val="single" w:sz="5" w:color="C8D9DE"/>
          <w:left w:val="single" w:sz="5" w:color="C8D9DE"/>
          <w:bottom w:val="single" w:sz="5" w:color="C8D9DE"/>
          <w:right w:val="single" w:sz="5" w:color="C8D9DE"/>
          <w:insideH w:val="single" w:sz="5" w:color="C8D9DE"/>
          <w:insideV w:val="single" w:sz="5" w:color="C8D9DE"/>
        </w:tblBorders>
      </w:tblPr>
      <w:tblGrid>
        <w:gridCol w:w="2534"/>
        <w:gridCol w:w="2534"/>
        <w:gridCol w:w="2534"/>
        <w:gridCol w:w="2534"/>
      </w:tblGrid>
      <w:tr>
        <w:trPr>
          <w:cantSplit/>
          <w:tblHeader w:val="true"/>
        </w:trPr>
        <w:tc>
          <w:tcPr>
            <w:tcW w:type="dxa" w:w="2534"/>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Screening state</w:t>
            </w:r>
          </w:p>
        </w:tc>
        <w:tc>
          <w:tcPr>
            <w:tcW w:type="dxa" w:w="2534"/>
            <w:vAlign w:val="center"/>
            <w:tcMar>
              <w:top w:w="90" w:type="dxa"/>
              <w:start w:w="100" w:type="dxa"/>
              <w:bottom w:w="90" w:type="dxa"/>
              <w:end w:w="100" w:type="dxa"/>
            </w:tcMar>
            <w:shd w:fill="064B66"/>
          </w:tcPr>
          <w:p>
            <w:pPr>
              <w:spacing w:before="0" w:after="0" w:line="245" w:lineRule="auto"/>
              <w:jc w:val="center"/>
            </w:pPr>
            <w:r>
              <w:rPr>
                <w:rFonts w:ascii="Aptos" w:hAnsi="Aptos" w:eastAsia="Aptos"/>
                <w:b/>
                <w:color w:val="FFFFFF"/>
                <w:sz w:val="16"/>
              </w:rPr>
              <w:t>Components</w:t>
            </w:r>
          </w:p>
        </w:tc>
        <w:tc>
          <w:tcPr>
            <w:tcW w:type="dxa" w:w="2534"/>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Denominator</w:t>
            </w:r>
          </w:p>
        </w:tc>
        <w:tc>
          <w:tcPr>
            <w:tcW w:type="dxa" w:w="2534"/>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Source</w:t>
            </w:r>
          </w:p>
        </w:tc>
      </w:tr>
      <w:tr>
        <w:trPr>
          <w:cantSplit/>
        </w:trPr>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COMPATIBLE_IDENTICAL</w:t>
            </w:r>
          </w:p>
        </w:tc>
        <w:tc>
          <w:tcPr>
            <w:tcW w:type="dxa" w:w="2534"/>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63</w:t>
            </w:r>
          </w:p>
        </w:tc>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133 accepted screens</w:t>
            </w:r>
          </w:p>
        </w:tc>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S12, S15</w:t>
            </w:r>
          </w:p>
        </w:tc>
      </w:tr>
      <w:tr>
        <w:trPr>
          <w:cantSplit/>
        </w:trPr>
        <w:tc>
          <w:tcPr>
            <w:tcW w:type="dxa" w:w="253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COMPATIBLE_ADJACENT_LOWER</w:t>
            </w:r>
          </w:p>
        </w:tc>
        <w:tc>
          <w:tcPr>
            <w:tcW w:type="dxa" w:w="2534"/>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3</w:t>
            </w:r>
          </w:p>
        </w:tc>
        <w:tc>
          <w:tcPr>
            <w:tcW w:type="dxa" w:w="253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133 accepted screens</w:t>
            </w:r>
          </w:p>
        </w:tc>
        <w:tc>
          <w:tcPr>
            <w:tcW w:type="dxa" w:w="253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S12, S15</w:t>
            </w:r>
          </w:p>
        </w:tc>
      </w:tr>
      <w:tr>
        <w:trPr>
          <w:cantSplit/>
        </w:trPr>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MATERIAL_DISPUTE</w:t>
            </w:r>
          </w:p>
        </w:tc>
        <w:tc>
          <w:tcPr>
            <w:tcW w:type="dxa" w:w="2534"/>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67</w:t>
            </w:r>
          </w:p>
        </w:tc>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133 accepted screens</w:t>
            </w:r>
          </w:p>
        </w:tc>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S12, S15</w:t>
            </w:r>
          </w:p>
        </w:tc>
      </w:tr>
      <w:tr>
        <w:trPr>
          <w:cantSplit/>
        </w:trPr>
        <w:tc>
          <w:tcPr>
            <w:tcW w:type="dxa" w:w="253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All accepted C_SCREEN</w:t>
            </w:r>
          </w:p>
        </w:tc>
        <w:tc>
          <w:tcPr>
            <w:tcW w:type="dxa" w:w="2534"/>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133</w:t>
            </w:r>
          </w:p>
        </w:tc>
        <w:tc>
          <w:tcPr>
            <w:tcW w:type="dxa" w:w="253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1,620 recorded queue components</w:t>
            </w:r>
          </w:p>
        </w:tc>
        <w:tc>
          <w:tcPr>
            <w:tcW w:type="dxa" w:w="253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S12, S14–S15</w:t>
            </w:r>
          </w:p>
        </w:tc>
      </w:tr>
      <w:tr>
        <w:trPr>
          <w:cantSplit/>
        </w:trPr>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Not yet screened</w:t>
            </w:r>
          </w:p>
        </w:tc>
        <w:tc>
          <w:tcPr>
            <w:tcW w:type="dxa" w:w="2534"/>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1,487</w:t>
            </w:r>
          </w:p>
        </w:tc>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1,620 recorded queue components</w:t>
            </w:r>
          </w:p>
        </w:tc>
        <w:tc>
          <w:tcPr>
            <w:tcW w:type="dxa" w:w="253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S12</w:t>
            </w:r>
          </w:p>
        </w:tc>
      </w:tr>
    </w:tbl>
    <w:p>
      <w:pPr>
        <w:spacing w:after="20"/>
      </w:pPr>
    </w:p>
    <w:p>
      <w:r>
        <w:rPr>
          <w:rFonts w:ascii="Aptos" w:hAnsi="Aptos" w:eastAsia="Aptos"/>
          <w:color w:val="20313A"/>
          <w:sz w:val="20"/>
        </w:rPr>
        <w:t>This is an unchanged status record from the original evaluation. The unscreened queue is not part of EA-01 or the current Working Paper execution workload. No C item was screened, decoded, adjudicated, or resumed for this amendment. The queue count is not an experimental sample size and supplies no credit, score, or agreement estimate. [S12, S14–S15]</w:t>
      </w:r>
    </w:p>
    <w:p>
      <w:r>
        <w:rPr>
          <w:rFonts w:ascii="Aptos" w:hAnsi="Aptos" w:eastAsia="Aptos"/>
          <w:color w:val="20313A"/>
          <w:sz w:val="20"/>
        </w:rPr>
        <w:t>The accepted screens are an incomplete processed subset of a routing queue; the records establish no representative sampling scheme. Their classification proportions therefore cannot be generalized to all components or used as an evaluator-agreement estimate. The containment record explicitly preserves unscreened status and prohibits inferring outcomes for the remaining queue. [S12]</w:t>
      </w:r>
    </w:p>
    <w:p>
      <w:pPr>
        <w:pStyle w:val="Heading2"/>
      </w:pPr>
      <w:r>
        <w:rPr>
          <w:rFonts w:ascii="Aptos" w:hAnsi="Aptos" w:eastAsia="Aptos"/>
          <w:color w:val="087E9B"/>
          <w:sz w:val="23"/>
        </w:rPr>
        <w:t>2.6 Incremental retrieval effects in the primary population</w:t>
      </w:r>
    </w:p>
    <w:p>
      <w:r>
        <w:rPr>
          <w:rFonts w:ascii="Aptos" w:hAnsi="Aptos" w:eastAsia="Aptos"/>
          <w:color w:val="20313A"/>
          <w:sz w:val="20"/>
        </w:rPr>
        <w:t>The corrected chain validates 48 unique experimental observations, 16 model–RAG–case cells with three repetitions each, 47 strict observations, and one accepted deviation. The assigned-cell counts below describe the experimental population, independently of score completeness. DS denotes DS V4.1 Flash Max; Luna denotes GPT-6 Luna Max in Study 1 and Sol denotes GPT-6 Sol High in Study 2. ON/OFF counts are ordered ON then OFF. [SC01; aggregate analysis audit]</w:t>
      </w:r>
    </w:p>
    <w:tbl>
      <w:tblPr>
        <w:tblW w:type="auto" w:w="0"/>
        <w:jc w:val="center"/>
        <w:tblLayout w:type="fixed"/>
        <w:tblLook w:firstColumn="1" w:firstRow="1" w:lastColumn="0" w:lastRow="0" w:noHBand="0" w:noVBand="1" w:val="04A0"/>
        <w:tblBorders>
          <w:top w:val="single" w:sz="5" w:color="C8D9DE"/>
          <w:left w:val="single" w:sz="5" w:color="C8D9DE"/>
          <w:bottom w:val="single" w:sz="5" w:color="C8D9DE"/>
          <w:right w:val="single" w:sz="5" w:color="C8D9DE"/>
          <w:insideH w:val="single" w:sz="5" w:color="C8D9DE"/>
          <w:insideV w:val="single" w:sz="5" w:color="C8D9DE"/>
        </w:tblBorders>
      </w:tblPr>
      <w:tblGrid>
        <w:gridCol w:w="2052"/>
        <w:gridCol w:w="855"/>
        <w:gridCol w:w="1944"/>
        <w:gridCol w:w="3187"/>
        <w:gridCol w:w="2099"/>
      </w:tblGrid>
      <w:tr>
        <w:trPr>
          <w:cantSplit/>
          <w:tblHeader w:val="true"/>
        </w:trPr>
        <w:tc>
          <w:tcPr>
            <w:tcW w:type="dxa" w:w="2052"/>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Study</w:t>
            </w:r>
          </w:p>
        </w:tc>
        <w:tc>
          <w:tcPr>
            <w:tcW w:type="dxa" w:w="855"/>
            <w:vAlign w:val="center"/>
            <w:tcMar>
              <w:top w:w="90" w:type="dxa"/>
              <w:start w:w="100" w:type="dxa"/>
              <w:bottom w:w="90" w:type="dxa"/>
              <w:end w:w="100" w:type="dxa"/>
            </w:tcMar>
            <w:shd w:fill="064B66"/>
          </w:tcPr>
          <w:p>
            <w:pPr>
              <w:spacing w:before="0" w:after="0" w:line="245" w:lineRule="auto"/>
              <w:jc w:val="center"/>
            </w:pPr>
            <w:r>
              <w:rPr>
                <w:rFonts w:ascii="Aptos" w:hAnsi="Aptos" w:eastAsia="Aptos"/>
                <w:b/>
                <w:color w:val="FFFFFF"/>
                <w:sz w:val="16"/>
              </w:rPr>
              <w:t>Model</w:t>
            </w:r>
          </w:p>
        </w:tc>
        <w:tc>
          <w:tcPr>
            <w:tcW w:type="dxa" w:w="1944"/>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Case</w:t>
            </w:r>
          </w:p>
        </w:tc>
        <w:tc>
          <w:tcPr>
            <w:tcW w:type="dxa" w:w="3187"/>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47: ON / OFF</w:t>
            </w:r>
          </w:p>
        </w:tc>
        <w:tc>
          <w:tcPr>
            <w:tcW w:type="dxa" w:w="2099"/>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48: ON / OFF</w:t>
            </w:r>
          </w:p>
        </w:tc>
      </w:tr>
      <w:tr>
        <w:trPr>
          <w:cantSplit/>
        </w:trPr>
        <w:tc>
          <w:tcPr>
            <w:tcW w:type="dxa" w:w="2052"/>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w:t>
            </w:r>
          </w:p>
        </w:tc>
        <w:tc>
          <w:tcPr>
            <w:tcW w:type="dxa" w:w="855"/>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DS</w:t>
            </w:r>
          </w:p>
        </w:tc>
        <w:tc>
          <w:tcPr>
            <w:tcW w:type="dxa" w:w="194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M01</w:t>
            </w:r>
          </w:p>
        </w:tc>
        <w:tc>
          <w:tcPr>
            <w:tcW w:type="dxa" w:w="318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 / 3</w:t>
            </w:r>
          </w:p>
        </w:tc>
        <w:tc>
          <w:tcPr>
            <w:tcW w:type="dxa" w:w="209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 / 3</w:t>
            </w:r>
          </w:p>
        </w:tc>
      </w:tr>
      <w:tr>
        <w:trPr>
          <w:cantSplit/>
        </w:trPr>
        <w:tc>
          <w:tcPr>
            <w:tcW w:type="dxa" w:w="2052"/>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w:t>
            </w:r>
          </w:p>
        </w:tc>
        <w:tc>
          <w:tcPr>
            <w:tcW w:type="dxa" w:w="855"/>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DS</w:t>
            </w:r>
          </w:p>
        </w:tc>
        <w:tc>
          <w:tcPr>
            <w:tcW w:type="dxa" w:w="194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M03</w:t>
            </w:r>
          </w:p>
        </w:tc>
        <w:tc>
          <w:tcPr>
            <w:tcW w:type="dxa" w:w="318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 / 3</w:t>
            </w:r>
          </w:p>
        </w:tc>
        <w:tc>
          <w:tcPr>
            <w:tcW w:type="dxa" w:w="209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 / 3</w:t>
            </w:r>
          </w:p>
        </w:tc>
      </w:tr>
      <w:tr>
        <w:trPr>
          <w:cantSplit/>
        </w:trPr>
        <w:tc>
          <w:tcPr>
            <w:tcW w:type="dxa" w:w="2052"/>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w:t>
            </w:r>
          </w:p>
        </w:tc>
        <w:tc>
          <w:tcPr>
            <w:tcW w:type="dxa" w:w="855"/>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Luna</w:t>
            </w:r>
          </w:p>
        </w:tc>
        <w:tc>
          <w:tcPr>
            <w:tcW w:type="dxa" w:w="194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M01</w:t>
            </w:r>
          </w:p>
        </w:tc>
        <w:tc>
          <w:tcPr>
            <w:tcW w:type="dxa" w:w="318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 / 3</w:t>
            </w:r>
          </w:p>
        </w:tc>
        <w:tc>
          <w:tcPr>
            <w:tcW w:type="dxa" w:w="209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 / 3</w:t>
            </w:r>
          </w:p>
        </w:tc>
      </w:tr>
      <w:tr>
        <w:trPr>
          <w:cantSplit/>
        </w:trPr>
        <w:tc>
          <w:tcPr>
            <w:tcW w:type="dxa" w:w="2052"/>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w:t>
            </w:r>
          </w:p>
        </w:tc>
        <w:tc>
          <w:tcPr>
            <w:tcW w:type="dxa" w:w="855"/>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Luna</w:t>
            </w:r>
          </w:p>
        </w:tc>
        <w:tc>
          <w:tcPr>
            <w:tcW w:type="dxa" w:w="194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M03</w:t>
            </w:r>
          </w:p>
        </w:tc>
        <w:tc>
          <w:tcPr>
            <w:tcW w:type="dxa" w:w="318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 / 3</w:t>
            </w:r>
          </w:p>
        </w:tc>
        <w:tc>
          <w:tcPr>
            <w:tcW w:type="dxa" w:w="209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 / 3</w:t>
            </w:r>
          </w:p>
        </w:tc>
      </w:tr>
      <w:tr>
        <w:trPr>
          <w:cantSplit/>
        </w:trPr>
        <w:tc>
          <w:tcPr>
            <w:tcW w:type="dxa" w:w="2052"/>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w:t>
            </w:r>
          </w:p>
        </w:tc>
        <w:tc>
          <w:tcPr>
            <w:tcW w:type="dxa" w:w="855"/>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DS</w:t>
            </w:r>
          </w:p>
        </w:tc>
        <w:tc>
          <w:tcPr>
            <w:tcW w:type="dxa" w:w="194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M01</w:t>
            </w:r>
          </w:p>
        </w:tc>
        <w:tc>
          <w:tcPr>
            <w:tcW w:type="dxa" w:w="318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 / 3</w:t>
            </w:r>
          </w:p>
        </w:tc>
        <w:tc>
          <w:tcPr>
            <w:tcW w:type="dxa" w:w="209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 / 3</w:t>
            </w:r>
          </w:p>
        </w:tc>
      </w:tr>
      <w:tr>
        <w:trPr>
          <w:cantSplit/>
        </w:trPr>
        <w:tc>
          <w:tcPr>
            <w:tcW w:type="dxa" w:w="2052"/>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w:t>
            </w:r>
          </w:p>
        </w:tc>
        <w:tc>
          <w:tcPr>
            <w:tcW w:type="dxa" w:w="855"/>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DS</w:t>
            </w:r>
          </w:p>
        </w:tc>
        <w:tc>
          <w:tcPr>
            <w:tcW w:type="dxa" w:w="194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M03</w:t>
            </w:r>
          </w:p>
        </w:tc>
        <w:tc>
          <w:tcPr>
            <w:tcW w:type="dxa" w:w="318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 / 3</w:t>
            </w:r>
          </w:p>
        </w:tc>
        <w:tc>
          <w:tcPr>
            <w:tcW w:type="dxa" w:w="209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 / 3</w:t>
            </w:r>
          </w:p>
        </w:tc>
      </w:tr>
      <w:tr>
        <w:trPr>
          <w:cantSplit/>
        </w:trPr>
        <w:tc>
          <w:tcPr>
            <w:tcW w:type="dxa" w:w="2052"/>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w:t>
            </w:r>
          </w:p>
        </w:tc>
        <w:tc>
          <w:tcPr>
            <w:tcW w:type="dxa" w:w="855"/>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Sol</w:t>
            </w:r>
          </w:p>
        </w:tc>
        <w:tc>
          <w:tcPr>
            <w:tcW w:type="dxa" w:w="194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M01</w:t>
            </w:r>
          </w:p>
        </w:tc>
        <w:tc>
          <w:tcPr>
            <w:tcW w:type="dxa" w:w="318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 / 3</w:t>
            </w:r>
          </w:p>
        </w:tc>
        <w:tc>
          <w:tcPr>
            <w:tcW w:type="dxa" w:w="209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 / 3</w:t>
            </w:r>
          </w:p>
        </w:tc>
      </w:tr>
      <w:tr>
        <w:trPr>
          <w:cantSplit/>
        </w:trPr>
        <w:tc>
          <w:tcPr>
            <w:tcW w:type="dxa" w:w="2052"/>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w:t>
            </w:r>
          </w:p>
        </w:tc>
        <w:tc>
          <w:tcPr>
            <w:tcW w:type="dxa" w:w="855"/>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Sol</w:t>
            </w:r>
          </w:p>
        </w:tc>
        <w:tc>
          <w:tcPr>
            <w:tcW w:type="dxa" w:w="194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M03</w:t>
            </w:r>
          </w:p>
        </w:tc>
        <w:tc>
          <w:tcPr>
            <w:tcW w:type="dxa" w:w="318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 / 3</w:t>
            </w:r>
          </w:p>
        </w:tc>
        <w:tc>
          <w:tcPr>
            <w:tcW w:type="dxa" w:w="209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 / 3</w:t>
            </w:r>
          </w:p>
        </w:tc>
      </w:tr>
    </w:tbl>
    <w:p>
      <w:pPr>
        <w:spacing w:after="20"/>
      </w:pPr>
    </w:p>
    <w:p>
      <w:r>
        <w:rPr>
          <w:rFonts w:ascii="Aptos" w:hAnsi="Aptos" w:eastAsia="Aptos"/>
          <w:color w:val="20313A"/>
          <w:sz w:val="20"/>
        </w:rPr>
        <w:t>The 47-observation primary population contains 44 paired accepted A1/A2 records; the 48-observation sensitivity population contains 45. Eligibility is lower where rubric metadata or component credits are missing. Primary complete components total 84 evaluator-observation Common70 measurements and 38 Specific30 measurements; sensitivity totals are 85 and 40. These are measurement counts across separate evaluators, not independent experimental N. DC holds, the historical UNKNOWN subset, and all missing fields retain their original status. [EA-01 v1.3; aggregate cell accounting]</w:t>
      </w:r>
    </w:p>
    <w:p>
      <w:pPr>
        <w:keepNext/>
        <w:spacing w:after="80"/>
      </w:pPr>
      <w:r>
        <w:rPr>
          <w:rFonts w:ascii="Aptos" w:hAnsi="Aptos" w:eastAsia="Aptos"/>
          <w:b/>
          <w:color w:val="064B66"/>
          <w:sz w:val="18"/>
        </w:rPr>
        <w:t>Table 6. Study 1 primary Common70 retrieval contrasts</w:t>
      </w:r>
    </w:p>
    <w:tbl>
      <w:tblPr>
        <w:tblW w:type="auto" w:w="0"/>
        <w:jc w:val="center"/>
        <w:tblLayout w:type="fixed"/>
        <w:tblLook w:firstColumn="1" w:firstRow="1" w:lastColumn="0" w:lastRow="0" w:noHBand="0" w:noVBand="1" w:val="04A0"/>
        <w:tblBorders>
          <w:top w:val="single" w:sz="5" w:color="C8D9DE"/>
          <w:left w:val="single" w:sz="5" w:color="C8D9DE"/>
          <w:bottom w:val="single" w:sz="5" w:color="C8D9DE"/>
          <w:right w:val="single" w:sz="5" w:color="C8D9DE"/>
          <w:insideH w:val="single" w:sz="5" w:color="C8D9DE"/>
          <w:insideV w:val="single" w:sz="5" w:color="C8D9DE"/>
        </w:tblBorders>
      </w:tblPr>
      <w:tblGrid>
        <w:gridCol w:w="1014"/>
        <w:gridCol w:w="760"/>
        <w:gridCol w:w="760"/>
        <w:gridCol w:w="676"/>
        <w:gridCol w:w="676"/>
        <w:gridCol w:w="1183"/>
        <w:gridCol w:w="1183"/>
        <w:gridCol w:w="1183"/>
        <w:gridCol w:w="2703"/>
      </w:tblGrid>
      <w:tr>
        <w:trPr>
          <w:cantSplit/>
          <w:tblHeader w:val="true"/>
        </w:trPr>
        <w:tc>
          <w:tcPr>
            <w:tcW w:type="dxa" w:w="1014"/>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Model</w:t>
            </w:r>
          </w:p>
        </w:tc>
        <w:tc>
          <w:tcPr>
            <w:tcW w:type="dxa" w:w="760"/>
            <w:vAlign w:val="center"/>
            <w:tcMar>
              <w:top w:w="90" w:type="dxa"/>
              <w:start w:w="100" w:type="dxa"/>
              <w:bottom w:w="90" w:type="dxa"/>
              <w:end w:w="100" w:type="dxa"/>
            </w:tcMar>
            <w:shd w:fill="064B66"/>
          </w:tcPr>
          <w:p>
            <w:pPr>
              <w:spacing w:before="0" w:after="0" w:line="245" w:lineRule="auto"/>
              <w:jc w:val="center"/>
            </w:pPr>
            <w:r>
              <w:rPr>
                <w:rFonts w:ascii="Aptos" w:hAnsi="Aptos" w:eastAsia="Aptos"/>
                <w:b/>
                <w:color w:val="FFFFFF"/>
                <w:sz w:val="16"/>
              </w:rPr>
              <w:t>Case</w:t>
            </w:r>
          </w:p>
        </w:tc>
        <w:tc>
          <w:tcPr>
            <w:tcW w:type="dxa" w:w="760"/>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Evaluator</w:t>
            </w:r>
          </w:p>
        </w:tc>
        <w:tc>
          <w:tcPr>
            <w:tcW w:type="dxa" w:w="676"/>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N_ON</w:t>
            </w:r>
          </w:p>
        </w:tc>
        <w:tc>
          <w:tcPr>
            <w:tcW w:type="dxa" w:w="676"/>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N_OFF</w:t>
            </w:r>
          </w:p>
        </w:tc>
        <w:tc>
          <w:tcPr>
            <w:tcW w:type="dxa" w:w="1183"/>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Mean_ON</w:t>
            </w:r>
          </w:p>
        </w:tc>
        <w:tc>
          <w:tcPr>
            <w:tcW w:type="dxa" w:w="1183"/>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Mean_OFF</w:t>
            </w:r>
          </w:p>
        </w:tc>
        <w:tc>
          <w:tcPr>
            <w:tcW w:type="dxa" w:w="1183"/>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Delta_RAG</w:t>
            </w:r>
          </w:p>
        </w:tc>
        <w:tc>
          <w:tcPr>
            <w:tcW w:type="dxa" w:w="2703"/>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95% CI</w:t>
            </w:r>
          </w:p>
        </w:tc>
      </w:tr>
      <w:tr>
        <w:trPr>
          <w:cantSplit/>
        </w:trPr>
        <w:tc>
          <w:tcPr>
            <w:tcW w:type="dxa" w:w="101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DS</w:t>
            </w:r>
          </w:p>
        </w:tc>
        <w:tc>
          <w:tcPr>
            <w:tcW w:type="dxa" w:w="760"/>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M01</w:t>
            </w:r>
          </w:p>
        </w:tc>
        <w:tc>
          <w:tcPr>
            <w:tcW w:type="dxa" w:w="760"/>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A1</w:t>
            </w:r>
          </w:p>
        </w:tc>
        <w:tc>
          <w:tcPr>
            <w:tcW w:type="dxa" w:w="67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w:t>
            </w:r>
          </w:p>
        </w:tc>
        <w:tc>
          <w:tcPr>
            <w:tcW w:type="dxa" w:w="67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53.33</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51.25</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2.08</w:t>
            </w:r>
          </w:p>
        </w:tc>
        <w:tc>
          <w:tcPr>
            <w:tcW w:type="dxa" w:w="270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[-16.16, 20.33]</w:t>
            </w:r>
          </w:p>
        </w:tc>
      </w:tr>
      <w:tr>
        <w:trPr>
          <w:cantSplit/>
        </w:trPr>
        <w:tc>
          <w:tcPr>
            <w:tcW w:type="dxa" w:w="101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Luna</w:t>
            </w:r>
          </w:p>
        </w:tc>
        <w:tc>
          <w:tcPr>
            <w:tcW w:type="dxa" w:w="760"/>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M01</w:t>
            </w:r>
          </w:p>
        </w:tc>
        <w:tc>
          <w:tcPr>
            <w:tcW w:type="dxa" w:w="760"/>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A1</w:t>
            </w:r>
          </w:p>
        </w:tc>
        <w:tc>
          <w:tcPr>
            <w:tcW w:type="dxa" w:w="67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w:t>
            </w:r>
          </w:p>
        </w:tc>
        <w:tc>
          <w:tcPr>
            <w:tcW w:type="dxa" w:w="67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42.50</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37.50</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5.00</w:t>
            </w:r>
          </w:p>
        </w:tc>
        <w:tc>
          <w:tcPr>
            <w:tcW w:type="dxa" w:w="270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[-13.62, 23.62]</w:t>
            </w:r>
          </w:p>
        </w:tc>
      </w:tr>
      <w:tr>
        <w:trPr>
          <w:cantSplit/>
        </w:trPr>
        <w:tc>
          <w:tcPr>
            <w:tcW w:type="dxa" w:w="101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DS</w:t>
            </w:r>
          </w:p>
        </w:tc>
        <w:tc>
          <w:tcPr>
            <w:tcW w:type="dxa" w:w="760"/>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M01</w:t>
            </w:r>
          </w:p>
        </w:tc>
        <w:tc>
          <w:tcPr>
            <w:tcW w:type="dxa" w:w="760"/>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A2</w:t>
            </w:r>
          </w:p>
        </w:tc>
        <w:tc>
          <w:tcPr>
            <w:tcW w:type="dxa" w:w="67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w:t>
            </w:r>
          </w:p>
        </w:tc>
        <w:tc>
          <w:tcPr>
            <w:tcW w:type="dxa" w:w="67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49.17</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45.00</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4.17</w:t>
            </w:r>
          </w:p>
        </w:tc>
        <w:tc>
          <w:tcPr>
            <w:tcW w:type="dxa" w:w="270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[-9.87, 18.21]</w:t>
            </w:r>
          </w:p>
        </w:tc>
      </w:tr>
      <w:tr>
        <w:trPr>
          <w:cantSplit/>
        </w:trPr>
        <w:tc>
          <w:tcPr>
            <w:tcW w:type="dxa" w:w="101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Luna</w:t>
            </w:r>
          </w:p>
        </w:tc>
        <w:tc>
          <w:tcPr>
            <w:tcW w:type="dxa" w:w="760"/>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M01</w:t>
            </w:r>
          </w:p>
        </w:tc>
        <w:tc>
          <w:tcPr>
            <w:tcW w:type="dxa" w:w="760"/>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A2</w:t>
            </w:r>
          </w:p>
        </w:tc>
        <w:tc>
          <w:tcPr>
            <w:tcW w:type="dxa" w:w="67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w:t>
            </w:r>
          </w:p>
        </w:tc>
        <w:tc>
          <w:tcPr>
            <w:tcW w:type="dxa" w:w="67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45.00</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38.75</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6.25</w:t>
            </w:r>
          </w:p>
        </w:tc>
        <w:tc>
          <w:tcPr>
            <w:tcW w:type="dxa" w:w="270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[-13.68, 26.18]</w:t>
            </w:r>
          </w:p>
        </w:tc>
      </w:tr>
      <w:tr>
        <w:trPr>
          <w:cantSplit/>
        </w:trPr>
        <w:tc>
          <w:tcPr>
            <w:tcW w:type="dxa" w:w="101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DS</w:t>
            </w:r>
          </w:p>
        </w:tc>
        <w:tc>
          <w:tcPr>
            <w:tcW w:type="dxa" w:w="760"/>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M03</w:t>
            </w:r>
          </w:p>
        </w:tc>
        <w:tc>
          <w:tcPr>
            <w:tcW w:type="dxa" w:w="760"/>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A1</w:t>
            </w:r>
          </w:p>
        </w:tc>
        <w:tc>
          <w:tcPr>
            <w:tcW w:type="dxa" w:w="67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w:t>
            </w:r>
          </w:p>
        </w:tc>
        <w:tc>
          <w:tcPr>
            <w:tcW w:type="dxa" w:w="67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47.50</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43.33</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4.17</w:t>
            </w:r>
          </w:p>
        </w:tc>
        <w:tc>
          <w:tcPr>
            <w:tcW w:type="dxa" w:w="270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[-0.95, 9.29]</w:t>
            </w:r>
          </w:p>
        </w:tc>
      </w:tr>
      <w:tr>
        <w:trPr>
          <w:cantSplit/>
        </w:trPr>
        <w:tc>
          <w:tcPr>
            <w:tcW w:type="dxa" w:w="101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Luna</w:t>
            </w:r>
          </w:p>
        </w:tc>
        <w:tc>
          <w:tcPr>
            <w:tcW w:type="dxa" w:w="760"/>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M03</w:t>
            </w:r>
          </w:p>
        </w:tc>
        <w:tc>
          <w:tcPr>
            <w:tcW w:type="dxa" w:w="760"/>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A1</w:t>
            </w:r>
          </w:p>
        </w:tc>
        <w:tc>
          <w:tcPr>
            <w:tcW w:type="dxa" w:w="67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w:t>
            </w:r>
          </w:p>
        </w:tc>
        <w:tc>
          <w:tcPr>
            <w:tcW w:type="dxa" w:w="67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40.83</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43.33</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-2.50</w:t>
            </w:r>
          </w:p>
        </w:tc>
        <w:tc>
          <w:tcPr>
            <w:tcW w:type="dxa" w:w="270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[-8.50, 3.50]</w:t>
            </w:r>
          </w:p>
        </w:tc>
      </w:tr>
      <w:tr>
        <w:trPr>
          <w:cantSplit/>
        </w:trPr>
        <w:tc>
          <w:tcPr>
            <w:tcW w:type="dxa" w:w="101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DS</w:t>
            </w:r>
          </w:p>
        </w:tc>
        <w:tc>
          <w:tcPr>
            <w:tcW w:type="dxa" w:w="760"/>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M03</w:t>
            </w:r>
          </w:p>
        </w:tc>
        <w:tc>
          <w:tcPr>
            <w:tcW w:type="dxa" w:w="760"/>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A2</w:t>
            </w:r>
          </w:p>
        </w:tc>
        <w:tc>
          <w:tcPr>
            <w:tcW w:type="dxa" w:w="67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w:t>
            </w:r>
          </w:p>
        </w:tc>
        <w:tc>
          <w:tcPr>
            <w:tcW w:type="dxa" w:w="67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42.50</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42.50</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NE</w:t>
            </w:r>
          </w:p>
        </w:tc>
        <w:tc>
          <w:tcPr>
            <w:tcW w:type="dxa" w:w="270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NE</w:t>
            </w:r>
          </w:p>
        </w:tc>
      </w:tr>
      <w:tr>
        <w:trPr>
          <w:cantSplit/>
        </w:trPr>
        <w:tc>
          <w:tcPr>
            <w:tcW w:type="dxa" w:w="101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Luna</w:t>
            </w:r>
          </w:p>
        </w:tc>
        <w:tc>
          <w:tcPr>
            <w:tcW w:type="dxa" w:w="760"/>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M03</w:t>
            </w:r>
          </w:p>
        </w:tc>
        <w:tc>
          <w:tcPr>
            <w:tcW w:type="dxa" w:w="760"/>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A2</w:t>
            </w:r>
          </w:p>
        </w:tc>
        <w:tc>
          <w:tcPr>
            <w:tcW w:type="dxa" w:w="67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w:t>
            </w:r>
          </w:p>
        </w:tc>
        <w:tc>
          <w:tcPr>
            <w:tcW w:type="dxa" w:w="67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41.67</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43.33</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-1.67</w:t>
            </w:r>
          </w:p>
        </w:tc>
        <w:tc>
          <w:tcPr>
            <w:tcW w:type="dxa" w:w="270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[-8.21, 4.88]</w:t>
            </w:r>
          </w:p>
        </w:tc>
      </w:tr>
    </w:tbl>
    <w:p>
      <w:pPr>
        <w:spacing w:after="20"/>
      </w:pPr>
    </w:p>
    <w:p>
      <w:pPr>
        <w:keepNext/>
        <w:spacing w:after="80"/>
      </w:pPr>
      <w:r>
        <w:rPr>
          <w:rFonts w:ascii="Aptos" w:hAnsi="Aptos" w:eastAsia="Aptos"/>
          <w:b/>
          <w:color w:val="064B66"/>
          <w:sz w:val="18"/>
        </w:rPr>
        <w:t>Table 7. Study 2 primary Common70 retrieval contrasts</w:t>
      </w:r>
    </w:p>
    <w:tbl>
      <w:tblPr>
        <w:tblW w:type="auto" w:w="0"/>
        <w:jc w:val="center"/>
        <w:tblLayout w:type="fixed"/>
        <w:tblLook w:firstColumn="1" w:firstRow="1" w:lastColumn="0" w:lastRow="0" w:noHBand="0" w:noVBand="1" w:val="04A0"/>
        <w:tblBorders>
          <w:top w:val="single" w:sz="5" w:color="C8D9DE"/>
          <w:left w:val="single" w:sz="5" w:color="C8D9DE"/>
          <w:bottom w:val="single" w:sz="5" w:color="C8D9DE"/>
          <w:right w:val="single" w:sz="5" w:color="C8D9DE"/>
          <w:insideH w:val="single" w:sz="5" w:color="C8D9DE"/>
          <w:insideV w:val="single" w:sz="5" w:color="C8D9DE"/>
        </w:tblBorders>
      </w:tblPr>
      <w:tblGrid>
        <w:gridCol w:w="1014"/>
        <w:gridCol w:w="760"/>
        <w:gridCol w:w="760"/>
        <w:gridCol w:w="676"/>
        <w:gridCol w:w="676"/>
        <w:gridCol w:w="1183"/>
        <w:gridCol w:w="1183"/>
        <w:gridCol w:w="1183"/>
        <w:gridCol w:w="2703"/>
      </w:tblGrid>
      <w:tr>
        <w:trPr>
          <w:cantSplit/>
          <w:tblHeader w:val="true"/>
        </w:trPr>
        <w:tc>
          <w:tcPr>
            <w:tcW w:type="dxa" w:w="1014"/>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Model</w:t>
            </w:r>
          </w:p>
        </w:tc>
        <w:tc>
          <w:tcPr>
            <w:tcW w:type="dxa" w:w="760"/>
            <w:vAlign w:val="center"/>
            <w:tcMar>
              <w:top w:w="90" w:type="dxa"/>
              <w:start w:w="100" w:type="dxa"/>
              <w:bottom w:w="90" w:type="dxa"/>
              <w:end w:w="100" w:type="dxa"/>
            </w:tcMar>
            <w:shd w:fill="064B66"/>
          </w:tcPr>
          <w:p>
            <w:pPr>
              <w:spacing w:before="0" w:after="0" w:line="245" w:lineRule="auto"/>
              <w:jc w:val="center"/>
            </w:pPr>
            <w:r>
              <w:rPr>
                <w:rFonts w:ascii="Aptos" w:hAnsi="Aptos" w:eastAsia="Aptos"/>
                <w:b/>
                <w:color w:val="FFFFFF"/>
                <w:sz w:val="16"/>
              </w:rPr>
              <w:t>Case</w:t>
            </w:r>
          </w:p>
        </w:tc>
        <w:tc>
          <w:tcPr>
            <w:tcW w:type="dxa" w:w="760"/>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Evaluator</w:t>
            </w:r>
          </w:p>
        </w:tc>
        <w:tc>
          <w:tcPr>
            <w:tcW w:type="dxa" w:w="676"/>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N_ON</w:t>
            </w:r>
          </w:p>
        </w:tc>
        <w:tc>
          <w:tcPr>
            <w:tcW w:type="dxa" w:w="676"/>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N_OFF</w:t>
            </w:r>
          </w:p>
        </w:tc>
        <w:tc>
          <w:tcPr>
            <w:tcW w:type="dxa" w:w="1183"/>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Mean_ON</w:t>
            </w:r>
          </w:p>
        </w:tc>
        <w:tc>
          <w:tcPr>
            <w:tcW w:type="dxa" w:w="1183"/>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Mean_OFF</w:t>
            </w:r>
          </w:p>
        </w:tc>
        <w:tc>
          <w:tcPr>
            <w:tcW w:type="dxa" w:w="1183"/>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Delta_RAG</w:t>
            </w:r>
          </w:p>
        </w:tc>
        <w:tc>
          <w:tcPr>
            <w:tcW w:type="dxa" w:w="2703"/>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95% CI</w:t>
            </w:r>
          </w:p>
        </w:tc>
      </w:tr>
      <w:tr>
        <w:trPr>
          <w:cantSplit/>
        </w:trPr>
        <w:tc>
          <w:tcPr>
            <w:tcW w:type="dxa" w:w="101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DS</w:t>
            </w:r>
          </w:p>
        </w:tc>
        <w:tc>
          <w:tcPr>
            <w:tcW w:type="dxa" w:w="760"/>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M01</w:t>
            </w:r>
          </w:p>
        </w:tc>
        <w:tc>
          <w:tcPr>
            <w:tcW w:type="dxa" w:w="760"/>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A1</w:t>
            </w:r>
          </w:p>
        </w:tc>
        <w:tc>
          <w:tcPr>
            <w:tcW w:type="dxa" w:w="67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w:t>
            </w:r>
          </w:p>
        </w:tc>
        <w:tc>
          <w:tcPr>
            <w:tcW w:type="dxa" w:w="67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55.00</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52.50</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2.50</w:t>
            </w:r>
          </w:p>
        </w:tc>
        <w:tc>
          <w:tcPr>
            <w:tcW w:type="dxa" w:w="270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[-79.97, 84.97]</w:t>
            </w:r>
          </w:p>
        </w:tc>
      </w:tr>
      <w:tr>
        <w:trPr>
          <w:cantSplit/>
        </w:trPr>
        <w:tc>
          <w:tcPr>
            <w:tcW w:type="dxa" w:w="101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Sol</w:t>
            </w:r>
          </w:p>
        </w:tc>
        <w:tc>
          <w:tcPr>
            <w:tcW w:type="dxa" w:w="760"/>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M01</w:t>
            </w:r>
          </w:p>
        </w:tc>
        <w:tc>
          <w:tcPr>
            <w:tcW w:type="dxa" w:w="760"/>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A1</w:t>
            </w:r>
          </w:p>
        </w:tc>
        <w:tc>
          <w:tcPr>
            <w:tcW w:type="dxa" w:w="67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w:t>
            </w:r>
          </w:p>
        </w:tc>
        <w:tc>
          <w:tcPr>
            <w:tcW w:type="dxa" w:w="67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57.50</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44.17</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13.33</w:t>
            </w:r>
          </w:p>
        </w:tc>
        <w:tc>
          <w:tcPr>
            <w:tcW w:type="dxa" w:w="270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NE*</w:t>
            </w:r>
          </w:p>
        </w:tc>
      </w:tr>
      <w:tr>
        <w:trPr>
          <w:cantSplit/>
        </w:trPr>
        <w:tc>
          <w:tcPr>
            <w:tcW w:type="dxa" w:w="101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DS</w:t>
            </w:r>
          </w:p>
        </w:tc>
        <w:tc>
          <w:tcPr>
            <w:tcW w:type="dxa" w:w="760"/>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M01</w:t>
            </w:r>
          </w:p>
        </w:tc>
        <w:tc>
          <w:tcPr>
            <w:tcW w:type="dxa" w:w="760"/>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A2</w:t>
            </w:r>
          </w:p>
        </w:tc>
        <w:tc>
          <w:tcPr>
            <w:tcW w:type="dxa" w:w="67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w:t>
            </w:r>
          </w:p>
        </w:tc>
        <w:tc>
          <w:tcPr>
            <w:tcW w:type="dxa" w:w="67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55.00</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47.50</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7.50</w:t>
            </w:r>
          </w:p>
        </w:tc>
        <w:tc>
          <w:tcPr>
            <w:tcW w:type="dxa" w:w="270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[-41.59, 56.59]</w:t>
            </w:r>
          </w:p>
        </w:tc>
      </w:tr>
      <w:tr>
        <w:trPr>
          <w:cantSplit/>
        </w:trPr>
        <w:tc>
          <w:tcPr>
            <w:tcW w:type="dxa" w:w="101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Sol</w:t>
            </w:r>
          </w:p>
        </w:tc>
        <w:tc>
          <w:tcPr>
            <w:tcW w:type="dxa" w:w="760"/>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M01</w:t>
            </w:r>
          </w:p>
        </w:tc>
        <w:tc>
          <w:tcPr>
            <w:tcW w:type="dxa" w:w="760"/>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A2</w:t>
            </w:r>
          </w:p>
        </w:tc>
        <w:tc>
          <w:tcPr>
            <w:tcW w:type="dxa" w:w="67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w:t>
            </w:r>
          </w:p>
        </w:tc>
        <w:tc>
          <w:tcPr>
            <w:tcW w:type="dxa" w:w="67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55.00</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45.83</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9.17</w:t>
            </w:r>
          </w:p>
        </w:tc>
        <w:tc>
          <w:tcPr>
            <w:tcW w:type="dxa" w:w="270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NE*</w:t>
            </w:r>
          </w:p>
        </w:tc>
      </w:tr>
      <w:tr>
        <w:trPr>
          <w:cantSplit/>
        </w:trPr>
        <w:tc>
          <w:tcPr>
            <w:tcW w:type="dxa" w:w="101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DS</w:t>
            </w:r>
          </w:p>
        </w:tc>
        <w:tc>
          <w:tcPr>
            <w:tcW w:type="dxa" w:w="760"/>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M03</w:t>
            </w:r>
          </w:p>
        </w:tc>
        <w:tc>
          <w:tcPr>
            <w:tcW w:type="dxa" w:w="760"/>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A1</w:t>
            </w:r>
          </w:p>
        </w:tc>
        <w:tc>
          <w:tcPr>
            <w:tcW w:type="dxa" w:w="67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w:t>
            </w:r>
          </w:p>
        </w:tc>
        <w:tc>
          <w:tcPr>
            <w:tcW w:type="dxa" w:w="67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45.00</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44.17</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0.83</w:t>
            </w:r>
          </w:p>
        </w:tc>
        <w:tc>
          <w:tcPr>
            <w:tcW w:type="dxa" w:w="270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[-12.31, 13.98]</w:t>
            </w:r>
          </w:p>
        </w:tc>
      </w:tr>
      <w:tr>
        <w:trPr>
          <w:cantSplit/>
        </w:trPr>
        <w:tc>
          <w:tcPr>
            <w:tcW w:type="dxa" w:w="101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Sol</w:t>
            </w:r>
          </w:p>
        </w:tc>
        <w:tc>
          <w:tcPr>
            <w:tcW w:type="dxa" w:w="760"/>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M03</w:t>
            </w:r>
          </w:p>
        </w:tc>
        <w:tc>
          <w:tcPr>
            <w:tcW w:type="dxa" w:w="760"/>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A1</w:t>
            </w:r>
          </w:p>
        </w:tc>
        <w:tc>
          <w:tcPr>
            <w:tcW w:type="dxa" w:w="67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w:t>
            </w:r>
          </w:p>
        </w:tc>
        <w:tc>
          <w:tcPr>
            <w:tcW w:type="dxa" w:w="67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33.75</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35.00</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NE</w:t>
            </w:r>
          </w:p>
        </w:tc>
        <w:tc>
          <w:tcPr>
            <w:tcW w:type="dxa" w:w="270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NE</w:t>
            </w:r>
          </w:p>
        </w:tc>
      </w:tr>
      <w:tr>
        <w:trPr>
          <w:cantSplit/>
        </w:trPr>
        <w:tc>
          <w:tcPr>
            <w:tcW w:type="dxa" w:w="101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DS</w:t>
            </w:r>
          </w:p>
        </w:tc>
        <w:tc>
          <w:tcPr>
            <w:tcW w:type="dxa" w:w="760"/>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M03</w:t>
            </w:r>
          </w:p>
        </w:tc>
        <w:tc>
          <w:tcPr>
            <w:tcW w:type="dxa" w:w="760"/>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A2</w:t>
            </w:r>
          </w:p>
        </w:tc>
        <w:tc>
          <w:tcPr>
            <w:tcW w:type="dxa" w:w="67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w:t>
            </w:r>
          </w:p>
        </w:tc>
        <w:tc>
          <w:tcPr>
            <w:tcW w:type="dxa" w:w="67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41.67</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41.67</w:t>
            </w:r>
          </w:p>
        </w:tc>
        <w:tc>
          <w:tcPr>
            <w:tcW w:type="dxa" w:w="118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0.00</w:t>
            </w:r>
          </w:p>
        </w:tc>
        <w:tc>
          <w:tcPr>
            <w:tcW w:type="dxa" w:w="270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[-10.73, 10.73]</w:t>
            </w:r>
          </w:p>
        </w:tc>
      </w:tr>
      <w:tr>
        <w:trPr>
          <w:cantSplit/>
        </w:trPr>
        <w:tc>
          <w:tcPr>
            <w:tcW w:type="dxa" w:w="101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Sol</w:t>
            </w:r>
          </w:p>
        </w:tc>
        <w:tc>
          <w:tcPr>
            <w:tcW w:type="dxa" w:w="760"/>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M03</w:t>
            </w:r>
          </w:p>
        </w:tc>
        <w:tc>
          <w:tcPr>
            <w:tcW w:type="dxa" w:w="760"/>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A2</w:t>
            </w:r>
          </w:p>
        </w:tc>
        <w:tc>
          <w:tcPr>
            <w:tcW w:type="dxa" w:w="67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w:t>
            </w:r>
          </w:p>
        </w:tc>
        <w:tc>
          <w:tcPr>
            <w:tcW w:type="dxa" w:w="67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32.50</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42.50</w:t>
            </w:r>
          </w:p>
        </w:tc>
        <w:tc>
          <w:tcPr>
            <w:tcW w:type="dxa" w:w="118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-10.00</w:t>
            </w:r>
          </w:p>
        </w:tc>
        <w:tc>
          <w:tcPr>
            <w:tcW w:type="dxa" w:w="270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[-92.47, 72.47]</w:t>
            </w:r>
          </w:p>
        </w:tc>
      </w:tr>
    </w:tbl>
    <w:p>
      <w:pPr>
        <w:spacing w:after="20"/>
      </w:pPr>
    </w:p>
    <w:p>
      <w:r>
        <w:rPr>
          <w:rFonts w:ascii="Aptos" w:hAnsi="Aptos" w:eastAsia="Aptos"/>
          <w:color w:val="20313A"/>
          <w:sz w:val="20"/>
        </w:rPr>
        <w:t>N_ON and N_OFF are eligible original observations for that evaluator and component. NE denotes a non-estimable contrast or interval; NE* marks an interval unavailable because a cell has fewer than two eligible observations. DS/Study 1/M03/A2 and Sol/Study 2/M03/A1 Common70 contrasts are NE because a required cell is nonvarying under the pre-locked rule, although cell means can be displayed. Equal displayed means in the former do not authorize a zero-effect claim.</w:t>
      </w:r>
    </w:p>
    <w:p>
      <w:r>
        <w:rPr>
          <w:rFonts w:ascii="Aptos" w:hAnsi="Aptos" w:eastAsia="Aptos"/>
          <w:color w:val="20313A"/>
          <w:sz w:val="20"/>
        </w:rPr>
        <w:t>For M01 Common70, point differences are positive in both studies and evaluators. Study 1 DS differences are +2.08 (A1) and +4.17 (A2); Luna differences are +5.00 and +6.25. Study 2 DS differences are +2.50 and +7.50; Sol differences are +13.33 and +9.17, but Sol ON has only one eligible observation per evaluator and neither difference has an estimable interval. M03 yields mixed directions: Study 1 DS/A1 is +4.17, whereas Luna is −2.50 (A1) and −1.67 (A2). Study 2 DS is +0.83 (A1) and a measured point difference of 0.00 (A2); Sol/A2 is −10.00, with a very wide interval. Every estimable individual RAG interval contains zero. [Tables 6–7; verified RAG aggregate outputs]</w:t>
      </w:r>
    </w:p>
    <w:p>
      <w:pPr>
        <w:keepNext/>
        <w:spacing w:after="20"/>
        <w:jc w:val="center"/>
      </w:pPr>
      <w:r>
        <w:drawing>
          <wp:inline xmlns:a="http://schemas.openxmlformats.org/drawingml/2006/main" xmlns:pic="http://schemas.openxmlformats.org/drawingml/2006/picture">
            <wp:extent cx="6400800" cy="6400800"/>
            <wp:docPr id="2" name="Picture 2" descr="Primary Common70 contrasts by study, model, case and evaluator, with Welch intervals, point-only estimates and explicit non-estimable rows."/>
            <wp:cNvGraphicFramePr>
              <a:graphicFrameLocks noChangeAspect="1"/>
            </wp:cNvGraphicFramePr>
            <a:graphic>
              <a:graphicData uri="http://schemas.openxmlformats.org/drawingml/2006/picture">
                <pic:pic>
                  <pic:nvPicPr>
                    <pic:cNvPr id="0" name="COMMON70_FOREST_PLOT_REVISED.png"/>
                    <pic:cNvPicPr/>
                  </pic:nvPicPr>
                  <pic:blipFill>
                    <a:blip r:embed="rId11"/>
                    <a:stretch>
                      <a:fillRect/>
                    </a:stretch>
                  </pic:blipFill>
                  <pic:spPr>
                    <a:xfrm>
                      <a:off x="0" y="0"/>
                      <a:ext cx="6400800" cy="6400800"/>
                    </a:xfrm>
                    <a:prstGeom prst="rect"/>
                  </pic:spPr>
                </pic:pic>
              </a:graphicData>
            </a:graphic>
          </wp:inline>
        </w:drawing>
      </w:r>
    </w:p>
    <w:p>
      <w:pPr>
        <w:keepLines/>
        <w:spacing w:after="140"/>
        <w:jc w:val="center"/>
      </w:pPr>
      <w:r>
        <w:rPr>
          <w:rFonts w:ascii="Aptos" w:hAnsi="Aptos" w:eastAsia="Aptos"/>
          <w:b/>
          <w:color w:val="526771"/>
          <w:sz w:val="17"/>
        </w:rPr>
        <w:t>Figure 2.</w:t>
      </w:r>
      <w:r>
        <w:rPr>
          <w:rFonts w:ascii="Aptos" w:hAnsi="Aptos" w:eastAsia="Aptos"/>
          <w:color w:val="526771"/>
          <w:sz w:val="17"/>
        </w:rPr>
        <w:t xml:space="preserve"> Revised post-analysis Common70 visualization, with separate Study 1 and Study 2 panels. Each panel shows an untruncated full-range view and a display-only zoom; triangular tips explicitly mark intervals extending beyond the zoom. Solid lines mark zero and dotted +/-70 lines mark the theoretical mean-difference bounds, not confidence limits. All 16 computable mean differences are displayed: 12 have the original Welch 95% intervals and four have point-only markers with reasons. This includes 0.00 for Study 1/DS/M03/A2 and -1.25 for Study 2/Sol/M03/A1, whose original v1.4 interval/contrast gate remains NE. No interval is replaced, clipped numerically, or assigned zero width. General web search was permitted in both conditions. [Common70 QC v1; original aggregate outputs]</w:t>
      </w:r>
    </w:p>
    <w:p>
      <w:pPr>
        <w:keepNext/>
        <w:spacing w:after="80"/>
      </w:pPr>
      <w:r>
        <w:rPr>
          <w:rFonts w:ascii="Aptos" w:hAnsi="Aptos" w:eastAsia="Aptos"/>
          <w:b/>
          <w:color w:val="064B66"/>
          <w:sz w:val="18"/>
        </w:rPr>
        <w:t>Table 8. Primary M01 Specific30 retrieval contrasts</w:t>
      </w:r>
    </w:p>
    <w:tbl>
      <w:tblPr>
        <w:tblW w:type="auto" w:w="0"/>
        <w:jc w:val="center"/>
        <w:tblLayout w:type="fixed"/>
        <w:tblLook w:firstColumn="1" w:firstRow="1" w:lastColumn="0" w:lastRow="0" w:noHBand="0" w:noVBand="1" w:val="04A0"/>
        <w:tblBorders>
          <w:top w:val="single" w:sz="5" w:color="C8D9DE"/>
          <w:left w:val="single" w:sz="5" w:color="C8D9DE"/>
          <w:bottom w:val="single" w:sz="5" w:color="C8D9DE"/>
          <w:right w:val="single" w:sz="5" w:color="C8D9DE"/>
          <w:insideH w:val="single" w:sz="5" w:color="C8D9DE"/>
          <w:insideV w:val="single" w:sz="5" w:color="C8D9DE"/>
        </w:tblBorders>
      </w:tblPr>
      <w:tblGrid>
        <w:gridCol w:w="696"/>
        <w:gridCol w:w="779"/>
        <w:gridCol w:w="696"/>
        <w:gridCol w:w="745"/>
        <w:gridCol w:w="629"/>
        <w:gridCol w:w="629"/>
        <w:gridCol w:w="1060"/>
        <w:gridCol w:w="1060"/>
        <w:gridCol w:w="994"/>
        <w:gridCol w:w="2849"/>
      </w:tblGrid>
      <w:tr>
        <w:trPr>
          <w:cantSplit/>
          <w:tblHeader w:val="true"/>
        </w:trPr>
        <w:tc>
          <w:tcPr>
            <w:tcW w:type="dxa" w:w="696"/>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Study</w:t>
            </w:r>
          </w:p>
        </w:tc>
        <w:tc>
          <w:tcPr>
            <w:tcW w:type="dxa" w:w="779"/>
            <w:vAlign w:val="center"/>
            <w:tcMar>
              <w:top w:w="90" w:type="dxa"/>
              <w:start w:w="100" w:type="dxa"/>
              <w:bottom w:w="90" w:type="dxa"/>
              <w:end w:w="100" w:type="dxa"/>
            </w:tcMar>
            <w:shd w:fill="064B66"/>
          </w:tcPr>
          <w:p>
            <w:pPr>
              <w:spacing w:before="0" w:after="0" w:line="245" w:lineRule="auto"/>
              <w:jc w:val="center"/>
            </w:pPr>
            <w:r>
              <w:rPr>
                <w:rFonts w:ascii="Aptos" w:hAnsi="Aptos" w:eastAsia="Aptos"/>
                <w:b/>
                <w:color w:val="FFFFFF"/>
                <w:sz w:val="16"/>
              </w:rPr>
              <w:t>Model</w:t>
            </w:r>
          </w:p>
        </w:tc>
        <w:tc>
          <w:tcPr>
            <w:tcW w:type="dxa" w:w="696"/>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Case</w:t>
            </w:r>
          </w:p>
        </w:tc>
        <w:tc>
          <w:tcPr>
            <w:tcW w:type="dxa" w:w="745"/>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Evaluator</w:t>
            </w:r>
          </w:p>
        </w:tc>
        <w:tc>
          <w:tcPr>
            <w:tcW w:type="dxa" w:w="629"/>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N_ON</w:t>
            </w:r>
          </w:p>
        </w:tc>
        <w:tc>
          <w:tcPr>
            <w:tcW w:type="dxa" w:w="629"/>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N_OFF</w:t>
            </w:r>
          </w:p>
        </w:tc>
        <w:tc>
          <w:tcPr>
            <w:tcW w:type="dxa" w:w="1060"/>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Mean_ON</w:t>
            </w:r>
          </w:p>
        </w:tc>
        <w:tc>
          <w:tcPr>
            <w:tcW w:type="dxa" w:w="1060"/>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Mean_OFF</w:t>
            </w:r>
          </w:p>
        </w:tc>
        <w:tc>
          <w:tcPr>
            <w:tcW w:type="dxa" w:w="994"/>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Delta_RAG</w:t>
            </w:r>
          </w:p>
        </w:tc>
        <w:tc>
          <w:tcPr>
            <w:tcW w:type="dxa" w:w="2849"/>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95% CI</w:t>
            </w:r>
          </w:p>
        </w:tc>
      </w:tr>
      <w:tr>
        <w:trPr>
          <w:cantSplit/>
        </w:trPr>
        <w:tc>
          <w:tcPr>
            <w:tcW w:type="dxa" w:w="69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w:t>
            </w:r>
          </w:p>
        </w:tc>
        <w:tc>
          <w:tcPr>
            <w:tcW w:type="dxa" w:w="779"/>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DS</w:t>
            </w:r>
          </w:p>
        </w:tc>
        <w:tc>
          <w:tcPr>
            <w:tcW w:type="dxa" w:w="69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M01</w:t>
            </w:r>
          </w:p>
        </w:tc>
        <w:tc>
          <w:tcPr>
            <w:tcW w:type="dxa" w:w="745"/>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A1</w:t>
            </w:r>
          </w:p>
        </w:tc>
        <w:tc>
          <w:tcPr>
            <w:tcW w:type="dxa" w:w="62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w:t>
            </w:r>
          </w:p>
        </w:tc>
        <w:tc>
          <w:tcPr>
            <w:tcW w:type="dxa" w:w="62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w:t>
            </w:r>
          </w:p>
        </w:tc>
        <w:tc>
          <w:tcPr>
            <w:tcW w:type="dxa" w:w="1060"/>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27.50</w:t>
            </w:r>
          </w:p>
        </w:tc>
        <w:tc>
          <w:tcPr>
            <w:tcW w:type="dxa" w:w="1060"/>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25.00</w:t>
            </w:r>
          </w:p>
        </w:tc>
        <w:tc>
          <w:tcPr>
            <w:tcW w:type="dxa" w:w="99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NE</w:t>
            </w:r>
          </w:p>
        </w:tc>
        <w:tc>
          <w:tcPr>
            <w:tcW w:type="dxa" w:w="284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NE</w:t>
            </w:r>
          </w:p>
        </w:tc>
      </w:tr>
      <w:tr>
        <w:trPr>
          <w:cantSplit/>
        </w:trPr>
        <w:tc>
          <w:tcPr>
            <w:tcW w:type="dxa" w:w="69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w:t>
            </w:r>
          </w:p>
        </w:tc>
        <w:tc>
          <w:tcPr>
            <w:tcW w:type="dxa" w:w="779"/>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Luna</w:t>
            </w:r>
          </w:p>
        </w:tc>
        <w:tc>
          <w:tcPr>
            <w:tcW w:type="dxa" w:w="69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M01</w:t>
            </w:r>
          </w:p>
        </w:tc>
        <w:tc>
          <w:tcPr>
            <w:tcW w:type="dxa" w:w="745"/>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A1</w:t>
            </w:r>
          </w:p>
        </w:tc>
        <w:tc>
          <w:tcPr>
            <w:tcW w:type="dxa" w:w="62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w:t>
            </w:r>
          </w:p>
        </w:tc>
        <w:tc>
          <w:tcPr>
            <w:tcW w:type="dxa" w:w="62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w:t>
            </w:r>
          </w:p>
        </w:tc>
        <w:tc>
          <w:tcPr>
            <w:tcW w:type="dxa" w:w="1060"/>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25.00</w:t>
            </w:r>
          </w:p>
        </w:tc>
        <w:tc>
          <w:tcPr>
            <w:tcW w:type="dxa" w:w="1060"/>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23.75</w:t>
            </w:r>
          </w:p>
        </w:tc>
        <w:tc>
          <w:tcPr>
            <w:tcW w:type="dxa" w:w="99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1.25</w:t>
            </w:r>
          </w:p>
        </w:tc>
        <w:tc>
          <w:tcPr>
            <w:tcW w:type="dxa" w:w="284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[-9.59, 12.09]</w:t>
            </w:r>
          </w:p>
        </w:tc>
      </w:tr>
      <w:tr>
        <w:trPr>
          <w:cantSplit/>
        </w:trPr>
        <w:tc>
          <w:tcPr>
            <w:tcW w:type="dxa" w:w="69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w:t>
            </w:r>
          </w:p>
        </w:tc>
        <w:tc>
          <w:tcPr>
            <w:tcW w:type="dxa" w:w="779"/>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DS</w:t>
            </w:r>
          </w:p>
        </w:tc>
        <w:tc>
          <w:tcPr>
            <w:tcW w:type="dxa" w:w="69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M01</w:t>
            </w:r>
          </w:p>
        </w:tc>
        <w:tc>
          <w:tcPr>
            <w:tcW w:type="dxa" w:w="745"/>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A2</w:t>
            </w:r>
          </w:p>
        </w:tc>
        <w:tc>
          <w:tcPr>
            <w:tcW w:type="dxa" w:w="62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w:t>
            </w:r>
          </w:p>
        </w:tc>
        <w:tc>
          <w:tcPr>
            <w:tcW w:type="dxa" w:w="62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w:t>
            </w:r>
          </w:p>
        </w:tc>
        <w:tc>
          <w:tcPr>
            <w:tcW w:type="dxa" w:w="1060"/>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27.50</w:t>
            </w:r>
          </w:p>
        </w:tc>
        <w:tc>
          <w:tcPr>
            <w:tcW w:type="dxa" w:w="1060"/>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23.75</w:t>
            </w:r>
          </w:p>
        </w:tc>
        <w:tc>
          <w:tcPr>
            <w:tcW w:type="dxa" w:w="99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3.75</w:t>
            </w:r>
          </w:p>
        </w:tc>
        <w:tc>
          <w:tcPr>
            <w:tcW w:type="dxa" w:w="284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[-2.47, 9.97]</w:t>
            </w:r>
          </w:p>
        </w:tc>
      </w:tr>
      <w:tr>
        <w:trPr>
          <w:cantSplit/>
        </w:trPr>
        <w:tc>
          <w:tcPr>
            <w:tcW w:type="dxa" w:w="69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w:t>
            </w:r>
          </w:p>
        </w:tc>
        <w:tc>
          <w:tcPr>
            <w:tcW w:type="dxa" w:w="779"/>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Luna</w:t>
            </w:r>
          </w:p>
        </w:tc>
        <w:tc>
          <w:tcPr>
            <w:tcW w:type="dxa" w:w="69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M01</w:t>
            </w:r>
          </w:p>
        </w:tc>
        <w:tc>
          <w:tcPr>
            <w:tcW w:type="dxa" w:w="745"/>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A2</w:t>
            </w:r>
          </w:p>
        </w:tc>
        <w:tc>
          <w:tcPr>
            <w:tcW w:type="dxa" w:w="62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w:t>
            </w:r>
          </w:p>
        </w:tc>
        <w:tc>
          <w:tcPr>
            <w:tcW w:type="dxa" w:w="62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w:t>
            </w:r>
          </w:p>
        </w:tc>
        <w:tc>
          <w:tcPr>
            <w:tcW w:type="dxa" w:w="1060"/>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25.83</w:t>
            </w:r>
          </w:p>
        </w:tc>
        <w:tc>
          <w:tcPr>
            <w:tcW w:type="dxa" w:w="1060"/>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22.50</w:t>
            </w:r>
          </w:p>
        </w:tc>
        <w:tc>
          <w:tcPr>
            <w:tcW w:type="dxa" w:w="99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3.33</w:t>
            </w:r>
          </w:p>
        </w:tc>
        <w:tc>
          <w:tcPr>
            <w:tcW w:type="dxa" w:w="284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[-8.84, 15.51]</w:t>
            </w:r>
          </w:p>
        </w:tc>
      </w:tr>
      <w:tr>
        <w:trPr>
          <w:cantSplit/>
        </w:trPr>
        <w:tc>
          <w:tcPr>
            <w:tcW w:type="dxa" w:w="69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w:t>
            </w:r>
          </w:p>
        </w:tc>
        <w:tc>
          <w:tcPr>
            <w:tcW w:type="dxa" w:w="779"/>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DS</w:t>
            </w:r>
          </w:p>
        </w:tc>
        <w:tc>
          <w:tcPr>
            <w:tcW w:type="dxa" w:w="69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M01</w:t>
            </w:r>
          </w:p>
        </w:tc>
        <w:tc>
          <w:tcPr>
            <w:tcW w:type="dxa" w:w="745"/>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A1</w:t>
            </w:r>
          </w:p>
        </w:tc>
        <w:tc>
          <w:tcPr>
            <w:tcW w:type="dxa" w:w="62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w:t>
            </w:r>
          </w:p>
        </w:tc>
        <w:tc>
          <w:tcPr>
            <w:tcW w:type="dxa" w:w="62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w:t>
            </w:r>
          </w:p>
        </w:tc>
        <w:tc>
          <w:tcPr>
            <w:tcW w:type="dxa" w:w="1060"/>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27.50</w:t>
            </w:r>
          </w:p>
        </w:tc>
        <w:tc>
          <w:tcPr>
            <w:tcW w:type="dxa" w:w="1060"/>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27.50</w:t>
            </w:r>
          </w:p>
        </w:tc>
        <w:tc>
          <w:tcPr>
            <w:tcW w:type="dxa" w:w="99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0.00</w:t>
            </w:r>
          </w:p>
        </w:tc>
        <w:tc>
          <w:tcPr>
            <w:tcW w:type="dxa" w:w="284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[-14.94, 14.94]</w:t>
            </w:r>
          </w:p>
        </w:tc>
      </w:tr>
      <w:tr>
        <w:trPr>
          <w:cantSplit/>
        </w:trPr>
        <w:tc>
          <w:tcPr>
            <w:tcW w:type="dxa" w:w="69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w:t>
            </w:r>
          </w:p>
        </w:tc>
        <w:tc>
          <w:tcPr>
            <w:tcW w:type="dxa" w:w="779"/>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Sol</w:t>
            </w:r>
          </w:p>
        </w:tc>
        <w:tc>
          <w:tcPr>
            <w:tcW w:type="dxa" w:w="69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M01</w:t>
            </w:r>
          </w:p>
        </w:tc>
        <w:tc>
          <w:tcPr>
            <w:tcW w:type="dxa" w:w="745"/>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A1</w:t>
            </w:r>
          </w:p>
        </w:tc>
        <w:tc>
          <w:tcPr>
            <w:tcW w:type="dxa" w:w="62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w:t>
            </w:r>
          </w:p>
        </w:tc>
        <w:tc>
          <w:tcPr>
            <w:tcW w:type="dxa" w:w="62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w:t>
            </w:r>
          </w:p>
        </w:tc>
        <w:tc>
          <w:tcPr>
            <w:tcW w:type="dxa" w:w="1060"/>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30.00</w:t>
            </w:r>
          </w:p>
        </w:tc>
        <w:tc>
          <w:tcPr>
            <w:tcW w:type="dxa" w:w="1060"/>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24.17</w:t>
            </w:r>
          </w:p>
        </w:tc>
        <w:tc>
          <w:tcPr>
            <w:tcW w:type="dxa" w:w="99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5.83</w:t>
            </w:r>
          </w:p>
        </w:tc>
        <w:tc>
          <w:tcPr>
            <w:tcW w:type="dxa" w:w="284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NE*</w:t>
            </w:r>
          </w:p>
        </w:tc>
      </w:tr>
      <w:tr>
        <w:trPr>
          <w:cantSplit/>
        </w:trPr>
        <w:tc>
          <w:tcPr>
            <w:tcW w:type="dxa" w:w="69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w:t>
            </w:r>
          </w:p>
        </w:tc>
        <w:tc>
          <w:tcPr>
            <w:tcW w:type="dxa" w:w="779"/>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DS</w:t>
            </w:r>
          </w:p>
        </w:tc>
        <w:tc>
          <w:tcPr>
            <w:tcW w:type="dxa" w:w="69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M01</w:t>
            </w:r>
          </w:p>
        </w:tc>
        <w:tc>
          <w:tcPr>
            <w:tcW w:type="dxa" w:w="745"/>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A2</w:t>
            </w:r>
          </w:p>
        </w:tc>
        <w:tc>
          <w:tcPr>
            <w:tcW w:type="dxa" w:w="62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w:t>
            </w:r>
          </w:p>
        </w:tc>
        <w:tc>
          <w:tcPr>
            <w:tcW w:type="dxa" w:w="62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w:t>
            </w:r>
          </w:p>
        </w:tc>
        <w:tc>
          <w:tcPr>
            <w:tcW w:type="dxa" w:w="1060"/>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27.50</w:t>
            </w:r>
          </w:p>
        </w:tc>
        <w:tc>
          <w:tcPr>
            <w:tcW w:type="dxa" w:w="1060"/>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23.33</w:t>
            </w:r>
          </w:p>
        </w:tc>
        <w:tc>
          <w:tcPr>
            <w:tcW w:type="dxa" w:w="99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4.17</w:t>
            </w:r>
          </w:p>
        </w:tc>
        <w:tc>
          <w:tcPr>
            <w:tcW w:type="dxa" w:w="284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[-8.46, 16.79]</w:t>
            </w:r>
          </w:p>
        </w:tc>
      </w:tr>
      <w:tr>
        <w:trPr>
          <w:cantSplit/>
        </w:trPr>
        <w:tc>
          <w:tcPr>
            <w:tcW w:type="dxa" w:w="69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w:t>
            </w:r>
          </w:p>
        </w:tc>
        <w:tc>
          <w:tcPr>
            <w:tcW w:type="dxa" w:w="779"/>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Sol</w:t>
            </w:r>
          </w:p>
        </w:tc>
        <w:tc>
          <w:tcPr>
            <w:tcW w:type="dxa" w:w="69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M01</w:t>
            </w:r>
          </w:p>
        </w:tc>
        <w:tc>
          <w:tcPr>
            <w:tcW w:type="dxa" w:w="745"/>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A2</w:t>
            </w:r>
          </w:p>
        </w:tc>
        <w:tc>
          <w:tcPr>
            <w:tcW w:type="dxa" w:w="62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w:t>
            </w:r>
          </w:p>
        </w:tc>
        <w:tc>
          <w:tcPr>
            <w:tcW w:type="dxa" w:w="62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w:t>
            </w:r>
          </w:p>
        </w:tc>
        <w:tc>
          <w:tcPr>
            <w:tcW w:type="dxa" w:w="1060"/>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30.00</w:t>
            </w:r>
          </w:p>
        </w:tc>
        <w:tc>
          <w:tcPr>
            <w:tcW w:type="dxa" w:w="1060"/>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25.00</w:t>
            </w:r>
          </w:p>
        </w:tc>
        <w:tc>
          <w:tcPr>
            <w:tcW w:type="dxa" w:w="99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NE</w:t>
            </w:r>
          </w:p>
        </w:tc>
        <w:tc>
          <w:tcPr>
            <w:tcW w:type="dxa" w:w="284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NE</w:t>
            </w:r>
          </w:p>
        </w:tc>
      </w:tr>
    </w:tbl>
    <w:p>
      <w:pPr>
        <w:spacing w:after="20"/>
      </w:pPr>
    </w:p>
    <w:p>
      <w:r>
        <w:rPr>
          <w:rFonts w:ascii="Aptos" w:hAnsi="Aptos" w:eastAsia="Aptos"/>
          <w:color w:val="20313A"/>
          <w:sz w:val="20"/>
        </w:rPr>
        <w:t>M03 Specific30 is NOT_ESTIMABLE in every study/model/evaluator stratum: there is no complete component for either evaluator. Its eligible N_ON and N_OFF are zero, not zero scores or zero effects. For M01, two Specific30 contrasts are NE because of a nonvarying cell, and Sol/A1 has only a point difference. The five finite Specific30 intervals include zero. Across all 32 primary component contrasts, 17 have finite intervals, three have descriptive point estimates only, four are NE due to nonvarying cells, and eight are NE due to empty M03-specific cells. The 20 reportable point contrasts comprise 15 positive, three negative, and two observed zero differences; this descriptive tally does not pool incompatible outcomes or establish a population effect. [EA-01 v1.4; aggregate analysis audit]</w:t>
      </w:r>
    </w:p>
    <w:p>
      <w:r>
        <w:rPr>
          <w:rFonts w:ascii="Aptos" w:hAnsi="Aptos" w:eastAsia="Aptos"/>
          <w:color w:val="20313A"/>
          <w:sz w:val="20"/>
        </w:rPr>
        <w:t>Missingness is explicitly cell-specific. The three observations without an accepted A lock per evaluator are separate from two M01 records per evaluator lacking labelled item schemas. A2 additionally retains one null M01 common credit. All 23 accepted M03 records per evaluator have incomplete Specific30 components. The aggregate cell-accounting table reports absent locks, unclassified schemas, and null components separately for each population and condition. No missing component is converted to zero. [EA-01 v1.3; cell_accounting.csv]</w:t>
      </w:r>
    </w:p>
    <w:p>
      <w:r>
        <w:rPr>
          <w:rFonts w:ascii="Aptos" w:hAnsi="Aptos" w:eastAsia="Aptos"/>
          <w:color w:val="20313A"/>
          <w:sz w:val="20"/>
        </w:rPr>
        <w:t>Bounded post-analysis QC independently reproduced every plotted Common70 mean, sample variance, eligible N, point difference, degrees of freedom and finite interval from the fixed credits. It used exact-rational moments and an independent Student t integration/quantile algorithm. The maximum CI difference from the original output was below 5e-11. Two very wide intervals legitimately cross the theoretical -70/+70 difference bounds because n_ON/n_OFF is 2/3, variances are 112.5/6.25, and Welch df is about 1.074709. Numerical intervals are retained without clipping. The original tables and output classifications are preserved; Figure 2 separately displays valid raw mean differences even when the pre-locked nonvarying-cell interval gate is NE. These post-analysis display classes are POINT_AND_CI_ESTIMABLE (12) and POINT_ESTIMABLE / CI_NOT_ESTIMABLE (four); no plotted Common70 outcome mean is unavailable. This does not change the inferential eligibility rules or create new scores. [COMMON70_NUMERICAL_VERIFICATION_REPORT.md; COMMON70_VERIFIED_COMPARISONS.csv]</w:t>
      </w:r>
    </w:p>
    <w:p>
      <w:pPr>
        <w:pStyle w:val="Heading2"/>
      </w:pPr>
      <w:r>
        <w:rPr>
          <w:rFonts w:ascii="Aptos" w:hAnsi="Aptos" w:eastAsia="Aptos"/>
          <w:color w:val="087E9B"/>
          <w:sz w:val="23"/>
        </w:rPr>
        <w:t>2.7 Model contrasts and model by RAG interactions</w:t>
      </w:r>
    </w:p>
    <w:p>
      <w:r>
        <w:rPr>
          <w:rFonts w:ascii="Aptos" w:hAnsi="Aptos" w:eastAsia="Aptos"/>
          <w:color w:val="20313A"/>
          <w:sz w:val="20"/>
        </w:rPr>
        <w:t>The interaction is (comparator ON−OFF)−(DS ON−OFF), on the same component scale and with the same population/eligibility rules. The four Ns below are comparator ON/OFF, then DS ON/OFF. M03 Specific30 interactions are all NE and omitted from this table only because the underlying score measure is wholly unavailable; their explicit NE rows remain in the aggregate CSV. [EA-01 v1.4]</w:t>
      </w:r>
    </w:p>
    <w:tbl>
      <w:tblPr>
        <w:tblW w:type="auto" w:w="0"/>
        <w:jc w:val="center"/>
        <w:tblLayout w:type="fixed"/>
        <w:tblLook w:firstColumn="1" w:firstRow="1" w:lastColumn="0" w:lastRow="0" w:noHBand="0" w:noVBand="1" w:val="04A0"/>
        <w:tblBorders>
          <w:top w:val="single" w:sz="5" w:color="C8D9DE"/>
          <w:left w:val="single" w:sz="5" w:color="C8D9DE"/>
          <w:bottom w:val="single" w:sz="5" w:color="C8D9DE"/>
          <w:right w:val="single" w:sz="5" w:color="C8D9DE"/>
          <w:insideH w:val="single" w:sz="5" w:color="C8D9DE"/>
          <w:insideV w:val="single" w:sz="5" w:color="C8D9DE"/>
        </w:tblBorders>
      </w:tblPr>
      <w:tblGrid>
        <w:gridCol w:w="713"/>
        <w:gridCol w:w="849"/>
        <w:gridCol w:w="849"/>
        <w:gridCol w:w="1528"/>
        <w:gridCol w:w="2547"/>
        <w:gridCol w:w="1104"/>
        <w:gridCol w:w="2547"/>
      </w:tblGrid>
      <w:tr>
        <w:trPr>
          <w:cantSplit/>
          <w:tblHeader w:val="true"/>
        </w:trPr>
        <w:tc>
          <w:tcPr>
            <w:tcW w:type="dxa" w:w="713"/>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Study</w:t>
            </w:r>
          </w:p>
        </w:tc>
        <w:tc>
          <w:tcPr>
            <w:tcW w:type="dxa" w:w="849"/>
            <w:vAlign w:val="center"/>
            <w:tcMar>
              <w:top w:w="90" w:type="dxa"/>
              <w:start w:w="100" w:type="dxa"/>
              <w:bottom w:w="90" w:type="dxa"/>
              <w:end w:w="100" w:type="dxa"/>
            </w:tcMar>
            <w:shd w:fill="064B66"/>
          </w:tcPr>
          <w:p>
            <w:pPr>
              <w:spacing w:before="0" w:after="0" w:line="245" w:lineRule="auto"/>
              <w:jc w:val="center"/>
            </w:pPr>
            <w:r>
              <w:rPr>
                <w:rFonts w:ascii="Aptos" w:hAnsi="Aptos" w:eastAsia="Aptos"/>
                <w:b/>
                <w:color w:val="FFFFFF"/>
                <w:sz w:val="16"/>
              </w:rPr>
              <w:t>Case</w:t>
            </w:r>
          </w:p>
        </w:tc>
        <w:tc>
          <w:tcPr>
            <w:tcW w:type="dxa" w:w="849"/>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Evaluator</w:t>
            </w:r>
          </w:p>
        </w:tc>
        <w:tc>
          <w:tcPr>
            <w:tcW w:type="dxa" w:w="1528"/>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Measure</w:t>
            </w:r>
          </w:p>
        </w:tc>
        <w:tc>
          <w:tcPr>
            <w:tcW w:type="dxa" w:w="2547"/>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N: comp ON/OFF; DS ON/OFF</w:t>
            </w:r>
          </w:p>
        </w:tc>
        <w:tc>
          <w:tcPr>
            <w:tcW w:type="dxa" w:w="1104"/>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Interaction</w:t>
            </w:r>
          </w:p>
        </w:tc>
        <w:tc>
          <w:tcPr>
            <w:tcW w:type="dxa" w:w="2547"/>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95% CI</w:t>
            </w:r>
          </w:p>
        </w:tc>
      </w:tr>
      <w:tr>
        <w:trPr>
          <w:cantSplit/>
        </w:trPr>
        <w:tc>
          <w:tcPr>
            <w:tcW w:type="dxa" w:w="71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w:t>
            </w:r>
          </w:p>
        </w:tc>
        <w:tc>
          <w:tcPr>
            <w:tcW w:type="dxa" w:w="849"/>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M01</w:t>
            </w:r>
          </w:p>
        </w:tc>
        <w:tc>
          <w:tcPr>
            <w:tcW w:type="dxa" w:w="84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A1</w:t>
            </w:r>
          </w:p>
        </w:tc>
        <w:tc>
          <w:tcPr>
            <w:tcW w:type="dxa" w:w="15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Common70</w:t>
            </w:r>
          </w:p>
        </w:tc>
        <w:tc>
          <w:tcPr>
            <w:tcW w:type="dxa" w:w="254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3/2/3/2</w:t>
            </w:r>
          </w:p>
        </w:tc>
        <w:tc>
          <w:tcPr>
            <w:tcW w:type="dxa" w:w="110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2.92</w:t>
            </w:r>
          </w:p>
        </w:tc>
        <w:tc>
          <w:tcPr>
            <w:tcW w:type="dxa" w:w="254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[-16.16, 21.99]</w:t>
            </w:r>
          </w:p>
        </w:tc>
      </w:tr>
      <w:tr>
        <w:trPr>
          <w:cantSplit/>
        </w:trPr>
        <w:tc>
          <w:tcPr>
            <w:tcW w:type="dxa" w:w="71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w:t>
            </w:r>
          </w:p>
        </w:tc>
        <w:tc>
          <w:tcPr>
            <w:tcW w:type="dxa" w:w="849"/>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M01</w:t>
            </w:r>
          </w:p>
        </w:tc>
        <w:tc>
          <w:tcPr>
            <w:tcW w:type="dxa" w:w="84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A1</w:t>
            </w:r>
          </w:p>
        </w:tc>
        <w:tc>
          <w:tcPr>
            <w:tcW w:type="dxa" w:w="15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Specific30</w:t>
            </w:r>
          </w:p>
        </w:tc>
        <w:tc>
          <w:tcPr>
            <w:tcW w:type="dxa" w:w="254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3/2/3/2</w:t>
            </w:r>
          </w:p>
        </w:tc>
        <w:tc>
          <w:tcPr>
            <w:tcW w:type="dxa" w:w="110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NE</w:t>
            </w:r>
          </w:p>
        </w:tc>
        <w:tc>
          <w:tcPr>
            <w:tcW w:type="dxa" w:w="254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NE</w:t>
            </w:r>
          </w:p>
        </w:tc>
      </w:tr>
      <w:tr>
        <w:trPr>
          <w:cantSplit/>
        </w:trPr>
        <w:tc>
          <w:tcPr>
            <w:tcW w:type="dxa" w:w="71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w:t>
            </w:r>
          </w:p>
        </w:tc>
        <w:tc>
          <w:tcPr>
            <w:tcW w:type="dxa" w:w="849"/>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M01</w:t>
            </w:r>
          </w:p>
        </w:tc>
        <w:tc>
          <w:tcPr>
            <w:tcW w:type="dxa" w:w="84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A2</w:t>
            </w:r>
          </w:p>
        </w:tc>
        <w:tc>
          <w:tcPr>
            <w:tcW w:type="dxa" w:w="15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Common70</w:t>
            </w:r>
          </w:p>
        </w:tc>
        <w:tc>
          <w:tcPr>
            <w:tcW w:type="dxa" w:w="254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3/2/3/2</w:t>
            </w:r>
          </w:p>
        </w:tc>
        <w:tc>
          <w:tcPr>
            <w:tcW w:type="dxa" w:w="110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2.08</w:t>
            </w:r>
          </w:p>
        </w:tc>
        <w:tc>
          <w:tcPr>
            <w:tcW w:type="dxa" w:w="254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[-17.17, 21.34]</w:t>
            </w:r>
          </w:p>
        </w:tc>
      </w:tr>
      <w:tr>
        <w:trPr>
          <w:cantSplit/>
        </w:trPr>
        <w:tc>
          <w:tcPr>
            <w:tcW w:type="dxa" w:w="71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w:t>
            </w:r>
          </w:p>
        </w:tc>
        <w:tc>
          <w:tcPr>
            <w:tcW w:type="dxa" w:w="849"/>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M01</w:t>
            </w:r>
          </w:p>
        </w:tc>
        <w:tc>
          <w:tcPr>
            <w:tcW w:type="dxa" w:w="84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A2</w:t>
            </w:r>
          </w:p>
        </w:tc>
        <w:tc>
          <w:tcPr>
            <w:tcW w:type="dxa" w:w="15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Specific30</w:t>
            </w:r>
          </w:p>
        </w:tc>
        <w:tc>
          <w:tcPr>
            <w:tcW w:type="dxa" w:w="254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3/2/3/2</w:t>
            </w:r>
          </w:p>
        </w:tc>
        <w:tc>
          <w:tcPr>
            <w:tcW w:type="dxa" w:w="110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-0.42</w:t>
            </w:r>
          </w:p>
        </w:tc>
        <w:tc>
          <w:tcPr>
            <w:tcW w:type="dxa" w:w="254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[-11.16, 10.33]</w:t>
            </w:r>
          </w:p>
        </w:tc>
      </w:tr>
      <w:tr>
        <w:trPr>
          <w:cantSplit/>
        </w:trPr>
        <w:tc>
          <w:tcPr>
            <w:tcW w:type="dxa" w:w="71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w:t>
            </w:r>
          </w:p>
        </w:tc>
        <w:tc>
          <w:tcPr>
            <w:tcW w:type="dxa" w:w="849"/>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M03</w:t>
            </w:r>
          </w:p>
        </w:tc>
        <w:tc>
          <w:tcPr>
            <w:tcW w:type="dxa" w:w="84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A1</w:t>
            </w:r>
          </w:p>
        </w:tc>
        <w:tc>
          <w:tcPr>
            <w:tcW w:type="dxa" w:w="15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Common70</w:t>
            </w:r>
          </w:p>
        </w:tc>
        <w:tc>
          <w:tcPr>
            <w:tcW w:type="dxa" w:w="254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3/3/3/3</w:t>
            </w:r>
          </w:p>
        </w:tc>
        <w:tc>
          <w:tcPr>
            <w:tcW w:type="dxa" w:w="110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-6.67</w:t>
            </w:r>
          </w:p>
        </w:tc>
        <w:tc>
          <w:tcPr>
            <w:tcW w:type="dxa" w:w="254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[-12.78, -0.55]</w:t>
            </w:r>
          </w:p>
        </w:tc>
      </w:tr>
      <w:tr>
        <w:trPr>
          <w:cantSplit/>
        </w:trPr>
        <w:tc>
          <w:tcPr>
            <w:tcW w:type="dxa" w:w="71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w:t>
            </w:r>
          </w:p>
        </w:tc>
        <w:tc>
          <w:tcPr>
            <w:tcW w:type="dxa" w:w="849"/>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M03</w:t>
            </w:r>
          </w:p>
        </w:tc>
        <w:tc>
          <w:tcPr>
            <w:tcW w:type="dxa" w:w="84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A2</w:t>
            </w:r>
          </w:p>
        </w:tc>
        <w:tc>
          <w:tcPr>
            <w:tcW w:type="dxa" w:w="15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Common70</w:t>
            </w:r>
          </w:p>
        </w:tc>
        <w:tc>
          <w:tcPr>
            <w:tcW w:type="dxa" w:w="254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3/3/3/3</w:t>
            </w:r>
          </w:p>
        </w:tc>
        <w:tc>
          <w:tcPr>
            <w:tcW w:type="dxa" w:w="110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NE</w:t>
            </w:r>
          </w:p>
        </w:tc>
        <w:tc>
          <w:tcPr>
            <w:tcW w:type="dxa" w:w="254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NE</w:t>
            </w:r>
          </w:p>
        </w:tc>
      </w:tr>
      <w:tr>
        <w:trPr>
          <w:cantSplit/>
        </w:trPr>
        <w:tc>
          <w:tcPr>
            <w:tcW w:type="dxa" w:w="71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w:t>
            </w:r>
          </w:p>
        </w:tc>
        <w:tc>
          <w:tcPr>
            <w:tcW w:type="dxa" w:w="849"/>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M01</w:t>
            </w:r>
          </w:p>
        </w:tc>
        <w:tc>
          <w:tcPr>
            <w:tcW w:type="dxa" w:w="84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A1</w:t>
            </w:r>
          </w:p>
        </w:tc>
        <w:tc>
          <w:tcPr>
            <w:tcW w:type="dxa" w:w="15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Common70</w:t>
            </w:r>
          </w:p>
        </w:tc>
        <w:tc>
          <w:tcPr>
            <w:tcW w:type="dxa" w:w="254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1/3/2/3</w:t>
            </w:r>
          </w:p>
        </w:tc>
        <w:tc>
          <w:tcPr>
            <w:tcW w:type="dxa" w:w="110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10.83</w:t>
            </w:r>
          </w:p>
        </w:tc>
        <w:tc>
          <w:tcPr>
            <w:tcW w:type="dxa" w:w="254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NE*</w:t>
            </w:r>
          </w:p>
        </w:tc>
      </w:tr>
      <w:tr>
        <w:trPr>
          <w:cantSplit/>
        </w:trPr>
        <w:tc>
          <w:tcPr>
            <w:tcW w:type="dxa" w:w="71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w:t>
            </w:r>
          </w:p>
        </w:tc>
        <w:tc>
          <w:tcPr>
            <w:tcW w:type="dxa" w:w="849"/>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M01</w:t>
            </w:r>
          </w:p>
        </w:tc>
        <w:tc>
          <w:tcPr>
            <w:tcW w:type="dxa" w:w="84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A1</w:t>
            </w:r>
          </w:p>
        </w:tc>
        <w:tc>
          <w:tcPr>
            <w:tcW w:type="dxa" w:w="15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Specific30</w:t>
            </w:r>
          </w:p>
        </w:tc>
        <w:tc>
          <w:tcPr>
            <w:tcW w:type="dxa" w:w="254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1/3/2/3</w:t>
            </w:r>
          </w:p>
        </w:tc>
        <w:tc>
          <w:tcPr>
            <w:tcW w:type="dxa" w:w="110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5.83</w:t>
            </w:r>
          </w:p>
        </w:tc>
        <w:tc>
          <w:tcPr>
            <w:tcW w:type="dxa" w:w="254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NE*</w:t>
            </w:r>
          </w:p>
        </w:tc>
      </w:tr>
      <w:tr>
        <w:trPr>
          <w:cantSplit/>
        </w:trPr>
        <w:tc>
          <w:tcPr>
            <w:tcW w:type="dxa" w:w="71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w:t>
            </w:r>
          </w:p>
        </w:tc>
        <w:tc>
          <w:tcPr>
            <w:tcW w:type="dxa" w:w="849"/>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M01</w:t>
            </w:r>
          </w:p>
        </w:tc>
        <w:tc>
          <w:tcPr>
            <w:tcW w:type="dxa" w:w="84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A2</w:t>
            </w:r>
          </w:p>
        </w:tc>
        <w:tc>
          <w:tcPr>
            <w:tcW w:type="dxa" w:w="15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Common70</w:t>
            </w:r>
          </w:p>
        </w:tc>
        <w:tc>
          <w:tcPr>
            <w:tcW w:type="dxa" w:w="254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1/3/2/3</w:t>
            </w:r>
          </w:p>
        </w:tc>
        <w:tc>
          <w:tcPr>
            <w:tcW w:type="dxa" w:w="110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1.67</w:t>
            </w:r>
          </w:p>
        </w:tc>
        <w:tc>
          <w:tcPr>
            <w:tcW w:type="dxa" w:w="254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NE*</w:t>
            </w:r>
          </w:p>
        </w:tc>
      </w:tr>
      <w:tr>
        <w:trPr>
          <w:cantSplit/>
        </w:trPr>
        <w:tc>
          <w:tcPr>
            <w:tcW w:type="dxa" w:w="71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w:t>
            </w:r>
          </w:p>
        </w:tc>
        <w:tc>
          <w:tcPr>
            <w:tcW w:type="dxa" w:w="849"/>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M01</w:t>
            </w:r>
          </w:p>
        </w:tc>
        <w:tc>
          <w:tcPr>
            <w:tcW w:type="dxa" w:w="84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A2</w:t>
            </w:r>
          </w:p>
        </w:tc>
        <w:tc>
          <w:tcPr>
            <w:tcW w:type="dxa" w:w="15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Specific30</w:t>
            </w:r>
          </w:p>
        </w:tc>
        <w:tc>
          <w:tcPr>
            <w:tcW w:type="dxa" w:w="254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1/3/2/3</w:t>
            </w:r>
          </w:p>
        </w:tc>
        <w:tc>
          <w:tcPr>
            <w:tcW w:type="dxa" w:w="110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NE</w:t>
            </w:r>
          </w:p>
        </w:tc>
        <w:tc>
          <w:tcPr>
            <w:tcW w:type="dxa" w:w="254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NE</w:t>
            </w:r>
          </w:p>
        </w:tc>
      </w:tr>
      <w:tr>
        <w:trPr>
          <w:cantSplit/>
        </w:trPr>
        <w:tc>
          <w:tcPr>
            <w:tcW w:type="dxa" w:w="71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w:t>
            </w:r>
          </w:p>
        </w:tc>
        <w:tc>
          <w:tcPr>
            <w:tcW w:type="dxa" w:w="849"/>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M03</w:t>
            </w:r>
          </w:p>
        </w:tc>
        <w:tc>
          <w:tcPr>
            <w:tcW w:type="dxa" w:w="84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A1</w:t>
            </w:r>
          </w:p>
        </w:tc>
        <w:tc>
          <w:tcPr>
            <w:tcW w:type="dxa" w:w="15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Common70</w:t>
            </w:r>
          </w:p>
        </w:tc>
        <w:tc>
          <w:tcPr>
            <w:tcW w:type="dxa" w:w="254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2/3/3/3</w:t>
            </w:r>
          </w:p>
        </w:tc>
        <w:tc>
          <w:tcPr>
            <w:tcW w:type="dxa" w:w="110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NE</w:t>
            </w:r>
          </w:p>
        </w:tc>
        <w:tc>
          <w:tcPr>
            <w:tcW w:type="dxa" w:w="2547"/>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NE</w:t>
            </w:r>
          </w:p>
        </w:tc>
      </w:tr>
      <w:tr>
        <w:trPr>
          <w:cantSplit/>
        </w:trPr>
        <w:tc>
          <w:tcPr>
            <w:tcW w:type="dxa" w:w="71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w:t>
            </w:r>
          </w:p>
        </w:tc>
        <w:tc>
          <w:tcPr>
            <w:tcW w:type="dxa" w:w="849"/>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M03</w:t>
            </w:r>
          </w:p>
        </w:tc>
        <w:tc>
          <w:tcPr>
            <w:tcW w:type="dxa" w:w="84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A2</w:t>
            </w:r>
          </w:p>
        </w:tc>
        <w:tc>
          <w:tcPr>
            <w:tcW w:type="dxa" w:w="15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Common70</w:t>
            </w:r>
          </w:p>
        </w:tc>
        <w:tc>
          <w:tcPr>
            <w:tcW w:type="dxa" w:w="254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2/3/3/3</w:t>
            </w:r>
          </w:p>
        </w:tc>
        <w:tc>
          <w:tcPr>
            <w:tcW w:type="dxa" w:w="110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-10.00</w:t>
            </w:r>
          </w:p>
        </w:tc>
        <w:tc>
          <w:tcPr>
            <w:tcW w:type="dxa" w:w="2547"/>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[-56.13, 36.13]</w:t>
            </w:r>
          </w:p>
        </w:tc>
      </w:tr>
    </w:tbl>
    <w:p>
      <w:pPr>
        <w:spacing w:after="20"/>
      </w:pPr>
    </w:p>
    <w:p>
      <w:r>
        <w:rPr>
          <w:rFonts w:ascii="Aptos" w:hAnsi="Aptos" w:eastAsia="Aptos"/>
          <w:color w:val="20313A"/>
          <w:sz w:val="20"/>
        </w:rPr>
        <w:t>The Study 1/M03/A1 Common70 interaction is −6.67 points, with a nominal 95% interval [−12.78, −0.55]. It reflects the difference between DS's +4.17 and Luna's −2.50 RAG contrasts. It is an exploratory heterogeneity finding under the locked approximation, not proof of a general benefit or a particular retrieval mechanism. A2's corresponding interaction is NE under the nonvarying-cell rule. The other four finite interaction intervals include zero; Study 2 M01 has point-only interactions where Sol ON lacks variance information. No multiplicity-adjusted confirmatory claim is made. [rag_interactions.csv]</w:t>
      </w:r>
    </w:p>
    <w:p>
      <w:r>
        <w:rPr>
          <w:rFonts w:ascii="Aptos" w:hAnsi="Aptos" w:eastAsia="Aptos"/>
          <w:color w:val="20313A"/>
          <w:sz w:val="20"/>
        </w:rPr>
        <w:t>Comparator-minus-DS contrasts within each RAG condition are reported below. Ns are the same component-specific cell counts underlying the focal tables and are retained explicitly in model_contrasts.csv. The comparator is Luna in Study 1 and Sol in Study 2. M03 Specific30 model contrasts are all NE.</w:t>
      </w:r>
    </w:p>
    <w:tbl>
      <w:tblPr>
        <w:tblW w:type="auto" w:w="0"/>
        <w:jc w:val="center"/>
        <w:tblLayout w:type="fixed"/>
        <w:tblLook w:firstColumn="1" w:firstRow="1" w:lastColumn="0" w:lastRow="0" w:noHBand="0" w:noVBand="1" w:val="04A0"/>
        <w:tblBorders>
          <w:top w:val="single" w:sz="5" w:color="C8D9DE"/>
          <w:left w:val="single" w:sz="5" w:color="C8D9DE"/>
          <w:bottom w:val="single" w:sz="5" w:color="C8D9DE"/>
          <w:right w:val="single" w:sz="5" w:color="C8D9DE"/>
          <w:insideH w:val="single" w:sz="5" w:color="C8D9DE"/>
          <w:insideV w:val="single" w:sz="5" w:color="C8D9DE"/>
        </w:tblBorders>
      </w:tblPr>
      <w:tblGrid>
        <w:gridCol w:w="619"/>
        <w:gridCol w:w="696"/>
        <w:gridCol w:w="774"/>
        <w:gridCol w:w="1393"/>
        <w:gridCol w:w="3328"/>
        <w:gridCol w:w="3328"/>
      </w:tblGrid>
      <w:tr>
        <w:trPr>
          <w:cantSplit/>
          <w:tblHeader w:val="true"/>
        </w:trPr>
        <w:tc>
          <w:tcPr>
            <w:tcW w:type="dxa" w:w="619"/>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Study</w:t>
            </w:r>
          </w:p>
        </w:tc>
        <w:tc>
          <w:tcPr>
            <w:tcW w:type="dxa" w:w="696"/>
            <w:vAlign w:val="center"/>
            <w:tcMar>
              <w:top w:w="90" w:type="dxa"/>
              <w:start w:w="100" w:type="dxa"/>
              <w:bottom w:w="90" w:type="dxa"/>
              <w:end w:w="100" w:type="dxa"/>
            </w:tcMar>
            <w:shd w:fill="064B66"/>
          </w:tcPr>
          <w:p>
            <w:pPr>
              <w:spacing w:before="0" w:after="0" w:line="245" w:lineRule="auto"/>
              <w:jc w:val="center"/>
            </w:pPr>
            <w:r>
              <w:rPr>
                <w:rFonts w:ascii="Aptos" w:hAnsi="Aptos" w:eastAsia="Aptos"/>
                <w:b/>
                <w:color w:val="FFFFFF"/>
                <w:sz w:val="16"/>
              </w:rPr>
              <w:t>Case</w:t>
            </w:r>
          </w:p>
        </w:tc>
        <w:tc>
          <w:tcPr>
            <w:tcW w:type="dxa" w:w="774"/>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Evaluator</w:t>
            </w:r>
          </w:p>
        </w:tc>
        <w:tc>
          <w:tcPr>
            <w:tcW w:type="dxa" w:w="1393"/>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Measure</w:t>
            </w:r>
          </w:p>
        </w:tc>
        <w:tc>
          <w:tcPr>
            <w:tcW w:type="dxa" w:w="3328"/>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OFF: comparator - DS [95% CI]</w:t>
            </w:r>
          </w:p>
        </w:tc>
        <w:tc>
          <w:tcPr>
            <w:tcW w:type="dxa" w:w="3328"/>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ON: comparator - DS [95% CI]</w:t>
            </w:r>
          </w:p>
        </w:tc>
      </w:tr>
      <w:tr>
        <w:trPr>
          <w:cantSplit/>
        </w:trPr>
        <w:tc>
          <w:tcPr>
            <w:tcW w:type="dxa" w:w="61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w:t>
            </w:r>
          </w:p>
        </w:tc>
        <w:tc>
          <w:tcPr>
            <w:tcW w:type="dxa" w:w="696"/>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M01</w:t>
            </w:r>
          </w:p>
        </w:tc>
        <w:tc>
          <w:tcPr>
            <w:tcW w:type="dxa" w:w="77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A1</w:t>
            </w:r>
          </w:p>
        </w:tc>
        <w:tc>
          <w:tcPr>
            <w:tcW w:type="dxa" w:w="139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Common70</w:t>
            </w:r>
          </w:p>
        </w:tc>
        <w:tc>
          <w:tcPr>
            <w:tcW w:type="dxa" w:w="33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-13.75 [-36.17, 8.67]</w:t>
            </w:r>
          </w:p>
        </w:tc>
        <w:tc>
          <w:tcPr>
            <w:tcW w:type="dxa" w:w="33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-10.83 [-28.54, 6.87]</w:t>
            </w:r>
          </w:p>
        </w:tc>
      </w:tr>
      <w:tr>
        <w:trPr>
          <w:cantSplit/>
        </w:trPr>
        <w:tc>
          <w:tcPr>
            <w:tcW w:type="dxa" w:w="61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w:t>
            </w:r>
          </w:p>
        </w:tc>
        <w:tc>
          <w:tcPr>
            <w:tcW w:type="dxa" w:w="696"/>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M01</w:t>
            </w:r>
          </w:p>
        </w:tc>
        <w:tc>
          <w:tcPr>
            <w:tcW w:type="dxa" w:w="77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A1</w:t>
            </w:r>
          </w:p>
        </w:tc>
        <w:tc>
          <w:tcPr>
            <w:tcW w:type="dxa" w:w="139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Specific30</w:t>
            </w:r>
          </w:p>
        </w:tc>
        <w:tc>
          <w:tcPr>
            <w:tcW w:type="dxa" w:w="33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NE NE</w:t>
            </w:r>
          </w:p>
        </w:tc>
        <w:tc>
          <w:tcPr>
            <w:tcW w:type="dxa" w:w="33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-2.50 [-12.89, 7.89]</w:t>
            </w:r>
          </w:p>
        </w:tc>
      </w:tr>
      <w:tr>
        <w:trPr>
          <w:cantSplit/>
        </w:trPr>
        <w:tc>
          <w:tcPr>
            <w:tcW w:type="dxa" w:w="61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w:t>
            </w:r>
          </w:p>
        </w:tc>
        <w:tc>
          <w:tcPr>
            <w:tcW w:type="dxa" w:w="696"/>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M01</w:t>
            </w:r>
          </w:p>
        </w:tc>
        <w:tc>
          <w:tcPr>
            <w:tcW w:type="dxa" w:w="77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A2</w:t>
            </w:r>
          </w:p>
        </w:tc>
        <w:tc>
          <w:tcPr>
            <w:tcW w:type="dxa" w:w="139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Common70</w:t>
            </w:r>
          </w:p>
        </w:tc>
        <w:tc>
          <w:tcPr>
            <w:tcW w:type="dxa" w:w="33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-6.25 [-28.67, 16.17]</w:t>
            </w:r>
          </w:p>
        </w:tc>
        <w:tc>
          <w:tcPr>
            <w:tcW w:type="dxa" w:w="33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-4.17 [-21.99, 13.66]</w:t>
            </w:r>
          </w:p>
        </w:tc>
      </w:tr>
      <w:tr>
        <w:trPr>
          <w:cantSplit/>
        </w:trPr>
        <w:tc>
          <w:tcPr>
            <w:tcW w:type="dxa" w:w="61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w:t>
            </w:r>
          </w:p>
        </w:tc>
        <w:tc>
          <w:tcPr>
            <w:tcW w:type="dxa" w:w="696"/>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M01</w:t>
            </w:r>
          </w:p>
        </w:tc>
        <w:tc>
          <w:tcPr>
            <w:tcW w:type="dxa" w:w="77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A2</w:t>
            </w:r>
          </w:p>
        </w:tc>
        <w:tc>
          <w:tcPr>
            <w:tcW w:type="dxa" w:w="139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Specific30</w:t>
            </w:r>
          </w:p>
        </w:tc>
        <w:tc>
          <w:tcPr>
            <w:tcW w:type="dxa" w:w="33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-1.25 [-18.55, 16.05]</w:t>
            </w:r>
          </w:p>
        </w:tc>
        <w:tc>
          <w:tcPr>
            <w:tcW w:type="dxa" w:w="33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-1.67 [-9.47, 6.14]</w:t>
            </w:r>
          </w:p>
        </w:tc>
      </w:tr>
      <w:tr>
        <w:trPr>
          <w:cantSplit/>
        </w:trPr>
        <w:tc>
          <w:tcPr>
            <w:tcW w:type="dxa" w:w="61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w:t>
            </w:r>
          </w:p>
        </w:tc>
        <w:tc>
          <w:tcPr>
            <w:tcW w:type="dxa" w:w="696"/>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M03</w:t>
            </w:r>
          </w:p>
        </w:tc>
        <w:tc>
          <w:tcPr>
            <w:tcW w:type="dxa" w:w="77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A1</w:t>
            </w:r>
          </w:p>
        </w:tc>
        <w:tc>
          <w:tcPr>
            <w:tcW w:type="dxa" w:w="139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Common70</w:t>
            </w:r>
          </w:p>
        </w:tc>
        <w:tc>
          <w:tcPr>
            <w:tcW w:type="dxa" w:w="33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0.00 [-3.27, 3.27]</w:t>
            </w:r>
          </w:p>
        </w:tc>
        <w:tc>
          <w:tcPr>
            <w:tcW w:type="dxa" w:w="33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-6.67 [-12.84, -0.50]</w:t>
            </w:r>
          </w:p>
        </w:tc>
      </w:tr>
      <w:tr>
        <w:trPr>
          <w:cantSplit/>
        </w:trPr>
        <w:tc>
          <w:tcPr>
            <w:tcW w:type="dxa" w:w="61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w:t>
            </w:r>
          </w:p>
        </w:tc>
        <w:tc>
          <w:tcPr>
            <w:tcW w:type="dxa" w:w="696"/>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M03</w:t>
            </w:r>
          </w:p>
        </w:tc>
        <w:tc>
          <w:tcPr>
            <w:tcW w:type="dxa" w:w="77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A2</w:t>
            </w:r>
          </w:p>
        </w:tc>
        <w:tc>
          <w:tcPr>
            <w:tcW w:type="dxa" w:w="139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Common70</w:t>
            </w:r>
          </w:p>
        </w:tc>
        <w:tc>
          <w:tcPr>
            <w:tcW w:type="dxa" w:w="33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NE NE</w:t>
            </w:r>
          </w:p>
        </w:tc>
        <w:tc>
          <w:tcPr>
            <w:tcW w:type="dxa" w:w="33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-0.83 [-14.85, 13.18]</w:t>
            </w:r>
          </w:p>
        </w:tc>
      </w:tr>
      <w:tr>
        <w:trPr>
          <w:cantSplit/>
        </w:trPr>
        <w:tc>
          <w:tcPr>
            <w:tcW w:type="dxa" w:w="61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w:t>
            </w:r>
          </w:p>
        </w:tc>
        <w:tc>
          <w:tcPr>
            <w:tcW w:type="dxa" w:w="696"/>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M01</w:t>
            </w:r>
          </w:p>
        </w:tc>
        <w:tc>
          <w:tcPr>
            <w:tcW w:type="dxa" w:w="77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A1</w:t>
            </w:r>
          </w:p>
        </w:tc>
        <w:tc>
          <w:tcPr>
            <w:tcW w:type="dxa" w:w="139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Common70</w:t>
            </w:r>
          </w:p>
        </w:tc>
        <w:tc>
          <w:tcPr>
            <w:tcW w:type="dxa" w:w="33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-8.33 [-14.50, -2.16]</w:t>
            </w:r>
          </w:p>
        </w:tc>
        <w:tc>
          <w:tcPr>
            <w:tcW w:type="dxa" w:w="33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2.50 NE*</w:t>
            </w:r>
          </w:p>
        </w:tc>
      </w:tr>
      <w:tr>
        <w:trPr>
          <w:cantSplit/>
        </w:trPr>
        <w:tc>
          <w:tcPr>
            <w:tcW w:type="dxa" w:w="61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w:t>
            </w:r>
          </w:p>
        </w:tc>
        <w:tc>
          <w:tcPr>
            <w:tcW w:type="dxa" w:w="696"/>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M01</w:t>
            </w:r>
          </w:p>
        </w:tc>
        <w:tc>
          <w:tcPr>
            <w:tcW w:type="dxa" w:w="77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A1</w:t>
            </w:r>
          </w:p>
        </w:tc>
        <w:tc>
          <w:tcPr>
            <w:tcW w:type="dxa" w:w="139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Specific30</w:t>
            </w:r>
          </w:p>
        </w:tc>
        <w:tc>
          <w:tcPr>
            <w:tcW w:type="dxa" w:w="33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-3.33 [-8.45, 1.79]</w:t>
            </w:r>
          </w:p>
        </w:tc>
        <w:tc>
          <w:tcPr>
            <w:tcW w:type="dxa" w:w="33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2.50 NE*</w:t>
            </w:r>
          </w:p>
        </w:tc>
      </w:tr>
      <w:tr>
        <w:trPr>
          <w:cantSplit/>
        </w:trPr>
        <w:tc>
          <w:tcPr>
            <w:tcW w:type="dxa" w:w="61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w:t>
            </w:r>
          </w:p>
        </w:tc>
        <w:tc>
          <w:tcPr>
            <w:tcW w:type="dxa" w:w="696"/>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M01</w:t>
            </w:r>
          </w:p>
        </w:tc>
        <w:tc>
          <w:tcPr>
            <w:tcW w:type="dxa" w:w="77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A2</w:t>
            </w:r>
          </w:p>
        </w:tc>
        <w:tc>
          <w:tcPr>
            <w:tcW w:type="dxa" w:w="139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Common70</w:t>
            </w:r>
          </w:p>
        </w:tc>
        <w:tc>
          <w:tcPr>
            <w:tcW w:type="dxa" w:w="33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-1.67 [-15.68, 12.35]</w:t>
            </w:r>
          </w:p>
        </w:tc>
        <w:tc>
          <w:tcPr>
            <w:tcW w:type="dxa" w:w="33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0.00 NE*</w:t>
            </w:r>
          </w:p>
        </w:tc>
      </w:tr>
      <w:tr>
        <w:trPr>
          <w:cantSplit/>
        </w:trPr>
        <w:tc>
          <w:tcPr>
            <w:tcW w:type="dxa" w:w="61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w:t>
            </w:r>
          </w:p>
        </w:tc>
        <w:tc>
          <w:tcPr>
            <w:tcW w:type="dxa" w:w="696"/>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M01</w:t>
            </w:r>
          </w:p>
        </w:tc>
        <w:tc>
          <w:tcPr>
            <w:tcW w:type="dxa" w:w="77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A2</w:t>
            </w:r>
          </w:p>
        </w:tc>
        <w:tc>
          <w:tcPr>
            <w:tcW w:type="dxa" w:w="139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Specific30</w:t>
            </w:r>
          </w:p>
        </w:tc>
        <w:tc>
          <w:tcPr>
            <w:tcW w:type="dxa" w:w="33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NE NE</w:t>
            </w:r>
          </w:p>
        </w:tc>
        <w:tc>
          <w:tcPr>
            <w:tcW w:type="dxa" w:w="33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2.50 NE*</w:t>
            </w:r>
          </w:p>
        </w:tc>
      </w:tr>
      <w:tr>
        <w:trPr>
          <w:cantSplit/>
        </w:trPr>
        <w:tc>
          <w:tcPr>
            <w:tcW w:type="dxa" w:w="619"/>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w:t>
            </w:r>
          </w:p>
        </w:tc>
        <w:tc>
          <w:tcPr>
            <w:tcW w:type="dxa" w:w="696"/>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M03</w:t>
            </w:r>
          </w:p>
        </w:tc>
        <w:tc>
          <w:tcPr>
            <w:tcW w:type="dxa" w:w="774"/>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A1</w:t>
            </w:r>
          </w:p>
        </w:tc>
        <w:tc>
          <w:tcPr>
            <w:tcW w:type="dxa" w:w="139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Common70</w:t>
            </w:r>
          </w:p>
        </w:tc>
        <w:tc>
          <w:tcPr>
            <w:tcW w:type="dxa" w:w="33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NE NE</w:t>
            </w:r>
          </w:p>
        </w:tc>
        <w:tc>
          <w:tcPr>
            <w:tcW w:type="dxa" w:w="3328"/>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-11.25 [-88.27, 65.77]</w:t>
            </w:r>
          </w:p>
        </w:tc>
      </w:tr>
      <w:tr>
        <w:trPr>
          <w:cantSplit/>
        </w:trPr>
        <w:tc>
          <w:tcPr>
            <w:tcW w:type="dxa" w:w="619"/>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w:t>
            </w:r>
          </w:p>
        </w:tc>
        <w:tc>
          <w:tcPr>
            <w:tcW w:type="dxa" w:w="696"/>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M03</w:t>
            </w:r>
          </w:p>
        </w:tc>
        <w:tc>
          <w:tcPr>
            <w:tcW w:type="dxa" w:w="774"/>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A2</w:t>
            </w:r>
          </w:p>
        </w:tc>
        <w:tc>
          <w:tcPr>
            <w:tcW w:type="dxa" w:w="139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Common70</w:t>
            </w:r>
          </w:p>
        </w:tc>
        <w:tc>
          <w:tcPr>
            <w:tcW w:type="dxa" w:w="33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0.83 [-10.04, 11.70]</w:t>
            </w:r>
          </w:p>
        </w:tc>
        <w:tc>
          <w:tcPr>
            <w:tcW w:type="dxa" w:w="3328"/>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-9.17 [-79.43, 61.10]</w:t>
            </w:r>
          </w:p>
        </w:tc>
      </w:tr>
    </w:tbl>
    <w:p>
      <w:pPr>
        <w:spacing w:after="20"/>
      </w:pPr>
    </w:p>
    <w:p>
      <w:r>
        <w:rPr>
          <w:rFonts w:ascii="Aptos" w:hAnsi="Aptos" w:eastAsia="Aptos"/>
          <w:color w:val="20313A"/>
          <w:sz w:val="20"/>
        </w:rPr>
        <w:t>Two nominal model-comparison intervals exclude zero: Study 1/M03/A1 under ON (−6.67, [−12.84, −0.50]) and Study 2/M01/A1 under OFF (−8.33, [−14.50, −2.16]). These conditional comparisons favor DS in those particular measured cells. They do not establish an overall model ranking or isolate retrieval's causal contribution. [model_contrasts.csv]</w:t>
      </w:r>
    </w:p>
    <w:p>
      <w:pPr>
        <w:pStyle w:val="Heading2"/>
      </w:pPr>
      <w:r>
        <w:rPr>
          <w:rFonts w:ascii="Aptos" w:hAnsi="Aptos" w:eastAsia="Aptos"/>
          <w:color w:val="087E9B"/>
          <w:sz w:val="23"/>
        </w:rPr>
        <w:t>2.8 Sensitivity to the accepted protocol deviation</w:t>
      </w:r>
    </w:p>
    <w:p>
      <w:r>
        <w:rPr>
          <w:rFonts w:ascii="Aptos" w:hAnsi="Aptos" w:eastAsia="Aptos"/>
          <w:color w:val="20313A"/>
          <w:sz w:val="20"/>
        </w:rPr>
        <w:t>Including the accepted deviation changes only Study 2/DS/M01 eligibility. All four evaluator/component combinations for that cell are shown, including A2 Common70, whose eligible outcome count and estimate do not change because the added common component remains null. Mean_OFF is unchanged. [deviation_sensitivity.csv; cell_accounting.csv]</w:t>
      </w:r>
    </w:p>
    <w:tbl>
      <w:tblPr>
        <w:tblW w:type="auto" w:w="0"/>
        <w:jc w:val="center"/>
        <w:tblLayout w:type="fixed"/>
        <w:tblLook w:firstColumn="1" w:firstRow="1" w:lastColumn="0" w:lastRow="0" w:noHBand="0" w:noVBand="1" w:val="04A0"/>
        <w:tblBorders>
          <w:top w:val="single" w:sz="5" w:color="C8D9DE"/>
          <w:left w:val="single" w:sz="5" w:color="C8D9DE"/>
          <w:bottom w:val="single" w:sz="5" w:color="C8D9DE"/>
          <w:right w:val="single" w:sz="5" w:color="C8D9DE"/>
          <w:insideH w:val="single" w:sz="5" w:color="C8D9DE"/>
          <w:insideV w:val="single" w:sz="5" w:color="C8D9DE"/>
        </w:tblBorders>
      </w:tblPr>
      <w:tblGrid>
        <w:gridCol w:w="652"/>
        <w:gridCol w:w="1086"/>
        <w:gridCol w:w="1665"/>
        <w:gridCol w:w="1376"/>
        <w:gridCol w:w="941"/>
        <w:gridCol w:w="1231"/>
        <w:gridCol w:w="1593"/>
        <w:gridCol w:w="1593"/>
      </w:tblGrid>
      <w:tr>
        <w:trPr>
          <w:cantSplit/>
          <w:tblHeader w:val="true"/>
        </w:trPr>
        <w:tc>
          <w:tcPr>
            <w:tcW w:type="dxa" w:w="652"/>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Evaluator</w:t>
            </w:r>
          </w:p>
        </w:tc>
        <w:tc>
          <w:tcPr>
            <w:tcW w:type="dxa" w:w="1086"/>
            <w:vAlign w:val="center"/>
            <w:tcMar>
              <w:top w:w="90" w:type="dxa"/>
              <w:start w:w="100" w:type="dxa"/>
              <w:bottom w:w="90" w:type="dxa"/>
              <w:end w:w="100" w:type="dxa"/>
            </w:tcMar>
            <w:shd w:fill="064B66"/>
          </w:tcPr>
          <w:p>
            <w:pPr>
              <w:spacing w:before="0" w:after="0" w:line="245" w:lineRule="auto"/>
              <w:jc w:val="center"/>
            </w:pPr>
            <w:r>
              <w:rPr>
                <w:rFonts w:ascii="Aptos" w:hAnsi="Aptos" w:eastAsia="Aptos"/>
                <w:b/>
                <w:color w:val="FFFFFF"/>
                <w:sz w:val="16"/>
              </w:rPr>
              <w:t>Measure</w:t>
            </w:r>
          </w:p>
        </w:tc>
        <w:tc>
          <w:tcPr>
            <w:tcW w:type="dxa" w:w="1665"/>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N ON/OFF: 47 -&gt; 48</w:t>
            </w:r>
          </w:p>
        </w:tc>
        <w:tc>
          <w:tcPr>
            <w:tcW w:type="dxa" w:w="1376"/>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Mean_ON: 47 -&gt; 48</w:t>
            </w:r>
          </w:p>
        </w:tc>
        <w:tc>
          <w:tcPr>
            <w:tcW w:type="dxa" w:w="941"/>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Mean_OFF</w:t>
            </w:r>
          </w:p>
        </w:tc>
        <w:tc>
          <w:tcPr>
            <w:tcW w:type="dxa" w:w="1231"/>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Delta: 47 -&gt; 48</w:t>
            </w:r>
          </w:p>
        </w:tc>
        <w:tc>
          <w:tcPr>
            <w:tcW w:type="dxa" w:w="1593"/>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95% CI: 47</w:t>
            </w:r>
          </w:p>
        </w:tc>
        <w:tc>
          <w:tcPr>
            <w:tcW w:type="dxa" w:w="1593"/>
            <w:vAlign w:val="center"/>
            <w:tcMar>
              <w:top w:w="90" w:type="dxa"/>
              <w:start w:w="100" w:type="dxa"/>
              <w:bottom w:w="90" w:type="dxa"/>
              <w:end w:w="100" w:type="dxa"/>
            </w:tcMar>
            <w:shd w:fill="064B66"/>
          </w:tcPr>
          <w:p>
            <w:pPr>
              <w:spacing w:before="0" w:after="0" w:line="245" w:lineRule="auto"/>
              <w:jc w:val="left"/>
            </w:pPr>
            <w:r>
              <w:rPr>
                <w:rFonts w:ascii="Aptos" w:hAnsi="Aptos" w:eastAsia="Aptos"/>
                <w:b/>
                <w:color w:val="FFFFFF"/>
                <w:sz w:val="16"/>
              </w:rPr>
              <w:t>95% CI: 48</w:t>
            </w:r>
          </w:p>
        </w:tc>
      </w:tr>
      <w:tr>
        <w:trPr>
          <w:cantSplit/>
        </w:trPr>
        <w:tc>
          <w:tcPr>
            <w:tcW w:type="dxa" w:w="652"/>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A1</w:t>
            </w:r>
          </w:p>
        </w:tc>
        <w:tc>
          <w:tcPr>
            <w:tcW w:type="dxa" w:w="1086"/>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Common70</w:t>
            </w:r>
          </w:p>
        </w:tc>
        <w:tc>
          <w:tcPr>
            <w:tcW w:type="dxa" w:w="1665"/>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2/3 -&gt; 3/3</w:t>
            </w:r>
          </w:p>
        </w:tc>
        <w:tc>
          <w:tcPr>
            <w:tcW w:type="dxa" w:w="137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55.00 -&gt; 57.50</w:t>
            </w:r>
          </w:p>
        </w:tc>
        <w:tc>
          <w:tcPr>
            <w:tcW w:type="dxa" w:w="941"/>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52.50</w:t>
            </w:r>
          </w:p>
        </w:tc>
        <w:tc>
          <w:tcPr>
            <w:tcW w:type="dxa" w:w="1231"/>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2.50 -&gt; 5.00</w:t>
            </w:r>
          </w:p>
        </w:tc>
        <w:tc>
          <w:tcPr>
            <w:tcW w:type="dxa" w:w="159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[-79.97, 84.97]</w:t>
            </w:r>
          </w:p>
        </w:tc>
        <w:tc>
          <w:tcPr>
            <w:tcW w:type="dxa" w:w="159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[-14.60, 24.60]</w:t>
            </w:r>
          </w:p>
        </w:tc>
      </w:tr>
      <w:tr>
        <w:trPr>
          <w:cantSplit/>
        </w:trPr>
        <w:tc>
          <w:tcPr>
            <w:tcW w:type="dxa" w:w="652"/>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A1</w:t>
            </w:r>
          </w:p>
        </w:tc>
        <w:tc>
          <w:tcPr>
            <w:tcW w:type="dxa" w:w="1086"/>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Specific30</w:t>
            </w:r>
          </w:p>
        </w:tc>
        <w:tc>
          <w:tcPr>
            <w:tcW w:type="dxa" w:w="1665"/>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2/3 -&gt; 3/3</w:t>
            </w:r>
          </w:p>
        </w:tc>
        <w:tc>
          <w:tcPr>
            <w:tcW w:type="dxa" w:w="137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27.50 -&gt; 28.33</w:t>
            </w:r>
          </w:p>
        </w:tc>
        <w:tc>
          <w:tcPr>
            <w:tcW w:type="dxa" w:w="941"/>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27.50</w:t>
            </w:r>
          </w:p>
        </w:tc>
        <w:tc>
          <w:tcPr>
            <w:tcW w:type="dxa" w:w="1231"/>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0.00 -&gt; 0.83</w:t>
            </w:r>
          </w:p>
        </w:tc>
        <w:tc>
          <w:tcPr>
            <w:tcW w:type="dxa" w:w="159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[-14.94, 14.94]</w:t>
            </w:r>
          </w:p>
        </w:tc>
        <w:tc>
          <w:tcPr>
            <w:tcW w:type="dxa" w:w="159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[-5.34, 7.00]</w:t>
            </w:r>
          </w:p>
        </w:tc>
      </w:tr>
      <w:tr>
        <w:trPr>
          <w:cantSplit/>
        </w:trPr>
        <w:tc>
          <w:tcPr>
            <w:tcW w:type="dxa" w:w="652"/>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A2</w:t>
            </w:r>
          </w:p>
        </w:tc>
        <w:tc>
          <w:tcPr>
            <w:tcW w:type="dxa" w:w="1086"/>
            <w:vAlign w:val="center"/>
            <w:tcMar>
              <w:top w:w="90" w:type="dxa"/>
              <w:start w:w="100" w:type="dxa"/>
              <w:bottom w:w="90" w:type="dxa"/>
              <w:end w:w="100" w:type="dxa"/>
            </w:tcMar>
            <w:shd w:fill="FFFFFF"/>
          </w:tcPr>
          <w:p>
            <w:pPr>
              <w:spacing w:before="0" w:after="0" w:line="245" w:lineRule="auto"/>
              <w:jc w:val="center"/>
            </w:pPr>
            <w:r>
              <w:rPr>
                <w:rFonts w:ascii="Aptos" w:hAnsi="Aptos" w:eastAsia="Aptos"/>
                <w:color w:val="20313A"/>
                <w:sz w:val="16"/>
              </w:rPr>
              <w:t>Common70</w:t>
            </w:r>
          </w:p>
        </w:tc>
        <w:tc>
          <w:tcPr>
            <w:tcW w:type="dxa" w:w="1665"/>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2/3 -&gt; 2/3</w:t>
            </w:r>
          </w:p>
        </w:tc>
        <w:tc>
          <w:tcPr>
            <w:tcW w:type="dxa" w:w="1376"/>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55.00 -&gt; 55.00</w:t>
            </w:r>
          </w:p>
        </w:tc>
        <w:tc>
          <w:tcPr>
            <w:tcW w:type="dxa" w:w="941"/>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47.50</w:t>
            </w:r>
          </w:p>
        </w:tc>
        <w:tc>
          <w:tcPr>
            <w:tcW w:type="dxa" w:w="1231"/>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7.50 -&gt; 7.50</w:t>
            </w:r>
          </w:p>
        </w:tc>
        <w:tc>
          <w:tcPr>
            <w:tcW w:type="dxa" w:w="159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[-41.59, 56.59]</w:t>
            </w:r>
          </w:p>
        </w:tc>
        <w:tc>
          <w:tcPr>
            <w:tcW w:type="dxa" w:w="1593"/>
            <w:vAlign w:val="center"/>
            <w:tcMar>
              <w:top w:w="90" w:type="dxa"/>
              <w:start w:w="100" w:type="dxa"/>
              <w:bottom w:w="90" w:type="dxa"/>
              <w:end w:w="100" w:type="dxa"/>
            </w:tcMar>
            <w:shd w:fill="FFFFFF"/>
          </w:tcPr>
          <w:p>
            <w:pPr>
              <w:spacing w:before="0" w:after="0" w:line="245" w:lineRule="auto"/>
              <w:jc w:val="left"/>
            </w:pPr>
            <w:r>
              <w:rPr>
                <w:rFonts w:ascii="Aptos" w:hAnsi="Aptos" w:eastAsia="Aptos"/>
                <w:color w:val="20313A"/>
                <w:sz w:val="16"/>
              </w:rPr>
              <w:t>[-41.59, 56.59]</w:t>
            </w:r>
          </w:p>
        </w:tc>
      </w:tr>
      <w:tr>
        <w:trPr>
          <w:cantSplit/>
        </w:trPr>
        <w:tc>
          <w:tcPr>
            <w:tcW w:type="dxa" w:w="652"/>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A2</w:t>
            </w:r>
          </w:p>
        </w:tc>
        <w:tc>
          <w:tcPr>
            <w:tcW w:type="dxa" w:w="1086"/>
            <w:vAlign w:val="center"/>
            <w:tcMar>
              <w:top w:w="90" w:type="dxa"/>
              <w:start w:w="100" w:type="dxa"/>
              <w:bottom w:w="90" w:type="dxa"/>
              <w:end w:w="100" w:type="dxa"/>
            </w:tcMar>
            <w:shd w:fill="F5FAFC"/>
          </w:tcPr>
          <w:p>
            <w:pPr>
              <w:spacing w:before="0" w:after="0" w:line="245" w:lineRule="auto"/>
              <w:jc w:val="center"/>
            </w:pPr>
            <w:r>
              <w:rPr>
                <w:rFonts w:ascii="Aptos" w:hAnsi="Aptos" w:eastAsia="Aptos"/>
                <w:color w:val="20313A"/>
                <w:sz w:val="16"/>
              </w:rPr>
              <w:t>Specific30</w:t>
            </w:r>
          </w:p>
        </w:tc>
        <w:tc>
          <w:tcPr>
            <w:tcW w:type="dxa" w:w="1665"/>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2/3 -&gt; 3/3</w:t>
            </w:r>
          </w:p>
        </w:tc>
        <w:tc>
          <w:tcPr>
            <w:tcW w:type="dxa" w:w="1376"/>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27.50 -&gt; 28.33</w:t>
            </w:r>
          </w:p>
        </w:tc>
        <w:tc>
          <w:tcPr>
            <w:tcW w:type="dxa" w:w="941"/>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23.33</w:t>
            </w:r>
          </w:p>
        </w:tc>
        <w:tc>
          <w:tcPr>
            <w:tcW w:type="dxa" w:w="1231"/>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4.17 -&gt; 5.00</w:t>
            </w:r>
          </w:p>
        </w:tc>
        <w:tc>
          <w:tcPr>
            <w:tcW w:type="dxa" w:w="159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[-8.46, 16.79]</w:t>
            </w:r>
          </w:p>
        </w:tc>
        <w:tc>
          <w:tcPr>
            <w:tcW w:type="dxa" w:w="1593"/>
            <w:vAlign w:val="center"/>
            <w:tcMar>
              <w:top w:w="90" w:type="dxa"/>
              <w:start w:w="100" w:type="dxa"/>
              <w:bottom w:w="90" w:type="dxa"/>
              <w:end w:w="100" w:type="dxa"/>
            </w:tcMar>
            <w:shd w:fill="F5FAFC"/>
          </w:tcPr>
          <w:p>
            <w:pPr>
              <w:spacing w:before="0" w:after="0" w:line="245" w:lineRule="auto"/>
              <w:jc w:val="left"/>
            </w:pPr>
            <w:r>
              <w:rPr>
                <w:rFonts w:ascii="Aptos" w:hAnsi="Aptos" w:eastAsia="Aptos"/>
                <w:color w:val="20313A"/>
                <w:sz w:val="16"/>
              </w:rPr>
              <w:t>[-5.69, 15.69]</w:t>
            </w:r>
          </w:p>
        </w:tc>
      </w:tr>
    </w:tbl>
    <w:p>
      <w:pPr>
        <w:spacing w:after="20"/>
      </w:pPr>
    </w:p>
    <w:p>
      <w:r>
        <w:rPr>
          <w:rFonts w:ascii="Aptos" w:hAnsi="Aptos" w:eastAsia="Aptos"/>
          <w:color w:val="20313A"/>
          <w:sz w:val="20"/>
        </w:rPr>
        <w:t>A1 Common70 rises from +2.50 to +5.00, with its interval narrowing from [−79.97, 84.97] to [−14.60, 24.60]. A1 Specific30 changes from 0.00 to +0.83; A2 Specific30 changes from +4.17 to +5.00. All three remain statistically inconclusive under the prespecified intervals. A2 Common70 remains +7.50 with its original interval. All other RAG contrasts retain their eligible data, means, estimates and intervals. The Study 1/M03/A1 interaction is unchanged. The absence of a clearly positive individual RAG interval is therefore unchanged, while exact magnitudes and precision in the affected cell are sensitive to the extra observation. [Verified sensitivity aggregate outputs]</w:t>
      </w:r>
    </w:p>
    <w:p>
      <w:pPr>
        <w:pStyle w:val="Heading1"/>
      </w:pPr>
      <w:r>
        <w:rPr>
          <w:rFonts w:ascii="Aptos" w:hAnsi="Aptos" w:eastAsia="Aptos"/>
          <w:color w:val="064B66"/>
          <w:sz w:val="30"/>
        </w:rPr>
        <w:t>3. Discussion</w:t>
      </w:r>
    </w:p>
    <w:p>
      <w:pPr>
        <w:pStyle w:val="Heading2"/>
      </w:pPr>
      <w:r>
        <w:rPr>
          <w:rFonts w:ascii="Aptos" w:hAnsi="Aptos" w:eastAsia="Aptos"/>
          <w:color w:val="087E9B"/>
          <w:sz w:val="23"/>
        </w:rPr>
        <w:t>3.1 What the web-enabled comparison establishes</w:t>
      </w:r>
    </w:p>
    <w:p>
      <w:r>
        <w:rPr>
          <w:rFonts w:ascii="Aptos" w:hAnsi="Aptos" w:eastAsia="Aptos"/>
          <w:color w:val="20313A"/>
          <w:sz w:val="20"/>
        </w:rPr>
        <w:t>The experiment tests an incremental retrieval option on top of ordinary web search and fetching. On the measured Common70 component, primary RAG point differences range from -10.00 to +13.33 across study, case, model, and evaluator. Point estimates are positive in some M01/model/evaluator cells and negative in some M03 cells. Every finite individual RAG interval contains zero. The single-record ON cells have point estimates but no variance estimate. The full-range and zoom panels show the uncertainty without clipping stored intervals. [EA-01 v1.4; Common70 QC v1]</w:t>
      </w:r>
    </w:p>
    <w:p>
      <w:r>
        <w:rPr>
          <w:rFonts w:ascii="Aptos" w:hAnsi="Aptos" w:eastAsia="Aptos"/>
          <w:color w:val="20313A"/>
          <w:sz w:val="20"/>
        </w:rPr>
        <w:t>One nominal model-by-RAG interaction in Study 1/M03/A1 is -6.67 points [-12.78, -0.55]. It is a conditional exploratory pattern: the A2 interaction is not estimable under the nonvarying-cell rule, and the comparison belongs to a set of evaluator-, case-, component-, and model-specific contrasts. It does not establish a general RAG benefit, a stable model hierarchy, or a confirmatory interaction. The intervals are not multiplicity-adjusted.</w:t>
      </w:r>
    </w:p>
    <w:p>
      <w:r>
        <w:rPr>
          <w:rFonts w:ascii="Aptos" w:hAnsi="Aptos" w:eastAsia="Aptos"/>
          <w:color w:val="20313A"/>
          <w:sz w:val="20"/>
        </w:rPr>
        <w:t>The accepted-deviation sensitivity analysis changes three eligible Study 2/DS/M01 component contrasts. The A1 Common70 difference changes from +2.50 to +5.00; A1 Specific30 changes from 0.00 to +0.83; and A2 Specific30 changes from +4.17 to +5.00. Their intervals continue to include zero. A2 Common70 remains unchanged because the added component is null. The qualitative conclusion remains inconclusive, while the exact point differences and precision in that cell are sensitive to the accepted deviation.</w:t>
      </w:r>
    </w:p>
    <w:p>
      <w:pPr>
        <w:pStyle w:val="Heading2"/>
      </w:pPr>
      <w:r>
        <w:rPr>
          <w:rFonts w:ascii="Aptos" w:hAnsi="Aptos" w:eastAsia="Aptos"/>
          <w:color w:val="087E9B"/>
          <w:sz w:val="23"/>
        </w:rPr>
        <w:t>3.2 Availability, delivery, and system reliability</w:t>
      </w:r>
    </w:p>
    <w:p>
      <w:r>
        <w:rPr>
          <w:rFonts w:ascii="Aptos" w:hAnsi="Aptos" w:eastAsia="Aptos"/>
          <w:color w:val="20313A"/>
          <w:sz w:val="20"/>
        </w:rPr>
        <w:t>A RAG ON assignment makes SeaFlow retrieval available; assignment alone does not show whether a tool was invoked, whether a result was returned, whether that result was usable, or whether it supported the final answer. Both conditions permit general web search. The fixed outcome records contain no run-level measures linking retrieval invocation and delivery to the accepted A1/A2 scores. Therefore, the experiment cannot distinguish an unavailable retrieval option from a call that returns no useful evidence, or from evidence that is delivered but not used. Those mechanisms are hypotheses for a separately designed measurement effort, not findings of this paper.</w:t>
      </w:r>
    </w:p>
    <w:p>
      <w:r>
        <w:rPr>
          <w:rFonts w:ascii="Aptos" w:hAnsi="Aptos" w:eastAsia="Aptos"/>
          <w:color w:val="20313A"/>
          <w:sz w:val="20"/>
        </w:rPr>
        <w:t>This distinction also matters for reliability claims. The treatment contrast measures the difference associated with assigned retrieval availability within this task and scoring setup. It cannot attribute a score pattern to a particular retrieval failure, source defect, legal-authority version, or implementation change. Nor does it measure overall legal-agent performance without web search or performance in commercial deployments. A future evaluation could record availability, invocation, returned-item identity, delivery status, source quality, and answer-level use as separate events, then relate those observations to outcomes under its own prespecified design.</w:t>
      </w:r>
    </w:p>
    <w:p>
      <w:pPr>
        <w:pStyle w:val="Heading2"/>
      </w:pPr>
      <w:r>
        <w:rPr>
          <w:rFonts w:ascii="Aptos" w:hAnsi="Aptos" w:eastAsia="Aptos"/>
          <w:color w:val="087E9B"/>
          <w:sz w:val="23"/>
        </w:rPr>
        <w:t>3.3 Reproducible evaluation and evidence-based debugging</w:t>
      </w:r>
    </w:p>
    <w:p>
      <w:r>
        <w:rPr>
          <w:rFonts w:ascii="Aptos" w:hAnsi="Aptos" w:eastAsia="Aptos"/>
          <w:color w:val="20313A"/>
          <w:sz w:val="20"/>
        </w:rPr>
        <w:t>The analysis workflow treated source identity and schema as research inputs. An initial nine-ID binding failed the locked 48-observation schema gate and stopped before score joining. The subsequent SC01 correction used the documented chain linking anonymous evaluator IDs, opaque execution IDs, the frozen formal registry, and an independent compliance index. It was added after v1.4 rather than represented as part of the original lock. Before the corrected mapping was decoded, the parser, schema dependency, synthetic fixtures, and execution controller were hash-locked. The join was kept in memory and only aggregate results were written. [SC01; RD01; Common70 QC report]</w:t>
      </w:r>
    </w:p>
    <w:p>
      <w:r>
        <w:rPr>
          <w:rFonts w:ascii="Aptos" w:hAnsi="Aptos" w:eastAsia="Aptos"/>
          <w:color w:val="20313A"/>
          <w:sz w:val="20"/>
        </w:rPr>
        <w:t>Twenty-two synthetic schema checks tested exact-key matching, study/model/case/RAG enums, 48 observations, 16 cells of three repetitions, the 47/48 membership split, and fail-closed behavior. Six additional synthetic arithmetic checks exercised Welch calculations, interval references, empty cells, nonvarying cells, and one-record point-only results. These checks validate the analysis plumbing and its declared rules; they do not test SeaFlow product reliability or model performance. Independent Common70 reconstruction from fixed credits matched the original means, point differences, degrees of freedom, and intervals within 5e-11. [SC01; Common70 QC v1]</w:t>
      </w:r>
    </w:p>
    <w:p>
      <w:r>
        <w:rPr>
          <w:rFonts w:ascii="Aptos" w:hAnsi="Aptos" w:eastAsia="Aptos"/>
          <w:color w:val="20313A"/>
          <w:sz w:val="20"/>
        </w:rPr>
        <w:t>The two intervals extending beyond the theoretical -70 to +70 mean-difference range follow from the prespecified unbounded Welch approximation in cells with n=2/3, variance 112.5/6.25, and degrees of freedom about 1.075. They are very wide but numerically verified. QC retains them in the full-range panel and uses explicit continuation arrows in a secondary zoom; it does not replace the method or alter the scores.</w:t>
      </w:r>
    </w:p>
    <w:p>
      <w:pPr>
        <w:pStyle w:val="Heading2"/>
      </w:pPr>
      <w:r>
        <w:rPr>
          <w:rFonts w:ascii="Aptos" w:hAnsi="Aptos" w:eastAsia="Aptos"/>
          <w:color w:val="087E9B"/>
          <w:sz w:val="23"/>
        </w:rPr>
        <w:t>3.4 Research and engineering contributions</w:t>
      </w:r>
    </w:p>
    <w:p>
      <w:r>
        <w:rPr>
          <w:rFonts w:ascii="Aptos" w:hAnsi="Aptos" w:eastAsia="Aptos"/>
          <w:color w:val="20313A"/>
          <w:sz w:val="20"/>
        </w:rPr>
        <w:t>The researcher set the empirical question and scope, maintained the fixed model/case boundaries, selected the strict and accepted populations, locked outcome eligibility and contrasts, controlled access to treatment identities, and authorized the narrowly scoped post-protocol reveal exception. Those are human research decisions and interpretations.</w:t>
      </w:r>
    </w:p>
    <w:p>
      <w:r>
        <w:rPr>
          <w:rFonts w:ascii="Aptos" w:hAnsi="Aptos" w:eastAsia="Aptos"/>
          <w:color w:val="20313A"/>
          <w:sz w:val="20"/>
        </w:rPr>
        <w:t>AI assistance implemented the schema adapter and deterministic join, checked the fixed statistical outputs independently, generated the visualization, and prepared the bilingual manuscript and restricted brief. The assistant did not create evaluator ratings, adjudicate legal judgments, infer missing scores, or replace the researcher's approval decisions. No underlying SeaFlow product code was changed by this paper analysis. This attribution is limited to work recorded in this project session.</w:t>
      </w:r>
    </w:p>
    <w:p>
      <w:r>
        <w:rPr>
          <w:rFonts w:ascii="Aptos" w:hAnsi="Aptos" w:eastAsia="Aptos"/>
          <w:color w:val="20313A"/>
          <w:sz w:val="20"/>
        </w:rPr>
        <w:t>The empirical comparison and analysis-tooling checks do not validate any unreleased engineering candidate, establish architectural need, or qualify a system release. Engineering claims require their own verified evidence and release authorization.</w:t>
      </w:r>
    </w:p>
    <w:p>
      <w:pPr>
        <w:pStyle w:val="Heading1"/>
      </w:pPr>
      <w:r>
        <w:rPr>
          <w:rFonts w:ascii="Aptos" w:hAnsi="Aptos" w:eastAsia="Aptos"/>
          <w:color w:val="064B66"/>
          <w:sz w:val="30"/>
        </w:rPr>
        <w:t>4. Limitations</w:t>
      </w:r>
    </w:p>
    <w:p>
      <w:pPr>
        <w:pStyle w:val="Heading2"/>
      </w:pPr>
      <w:r>
        <w:rPr>
          <w:rFonts w:ascii="Aptos" w:hAnsi="Aptos" w:eastAsia="Aptos"/>
          <w:color w:val="087E9B"/>
          <w:sz w:val="23"/>
        </w:rPr>
        <w:t>4.1 Incomplete outcomes and selective completeness</w:t>
      </w:r>
    </w:p>
    <w:p>
      <w:r>
        <w:rPr>
          <w:rFonts w:ascii="Aptos" w:hAnsi="Aptos" w:eastAsia="Aptos"/>
          <w:color w:val="20313A"/>
          <w:sz w:val="20"/>
        </w:rPr>
        <w:t>The original full S4/E4 procedure remains incomplete. The 90 accepted evaluator locks fix judgments without ensuring complete operational predicates, penalties, or final full-quality scores. The remaining 1,487 C screening components are outside EA-01 and were not resumed. DC holds, the historical UNKNOWN subset, deferred findings, unclassified schemas and legitimate nulls remain unchanged. These exploratory estimates are not equivalent to original fully adjudicated E4 outcomes. [S02, S07, S11–S16; EA-01 v1.3/v1.4]</w:t>
      </w:r>
    </w:p>
    <w:p>
      <w:r>
        <w:rPr>
          <w:rFonts w:ascii="Aptos" w:hAnsi="Aptos" w:eastAsia="Aptos"/>
          <w:color w:val="20313A"/>
          <w:sz w:val="20"/>
        </w:rPr>
        <w:t>Only 45 of 48 accepted observations have paired accepted A records; within that set, two M01 pairs lack dimension/weight metadata and one A2 common credit is null. M03 Specific30 is unavailable for every accepted record. The complete-component subsets differ across cells and evaluators. No missing-at-random mechanism is established, so ON/OFF differences on available components can be affected by selective completeness. Empty and nonvarying cells remain NE under the locked specification; a measured zero difference in an eligible varying-cell contrast does not establish a population null. [Aggregate cell accounting; EA-01 v1.4]</w:t>
      </w:r>
    </w:p>
    <w:p>
      <w:r>
        <w:rPr>
          <w:rFonts w:ascii="Aptos" w:hAnsi="Aptos" w:eastAsia="Aptos"/>
          <w:color w:val="20313A"/>
          <w:sz w:val="20"/>
        </w:rPr>
        <w:t>The Common70 eligibility audit reconciles each evaluator's 48 assigned observations to 47 strict observations, then to 42 eligible outcomes: one accepted protocol deviation is outside primary, while the strict unavailable set is exactly three fixed DC holds and two records with incomplete dimension/weight labels. These are not five ordinary missing numeric scores. The held-state lineage includes historical UNKNOWN, without replay or conversion into a score. A2's one legitimate null common credit lies on the deviation and is not double-counted among the five strict unavailable observations. In the strict population each evaluator has 20/23 eligible ON versus 22/24 eligible OFF observations; ON contains two DC holds and one schema-incomplete record, OFF one DC hold and one schema-incomplete record. This descriptive completeness asymmetry can affect complete-component comparisons, but does not establish a systematic or causal RAG missingness effect. [COMMON70_ELIGIBILITY_AND_MISSINGNESS.csv; fixed A/DC status bindings]</w:t>
      </w:r>
    </w:p>
    <w:p>
      <w:pPr>
        <w:pStyle w:val="Heading2"/>
      </w:pPr>
      <w:r>
        <w:rPr>
          <w:rFonts w:ascii="Aptos" w:hAnsi="Aptos" w:eastAsia="Aptos"/>
          <w:color w:val="087E9B"/>
          <w:sz w:val="23"/>
        </w:rPr>
        <w:t>4.2 Procedural blinding and historical limitations</w:t>
      </w:r>
    </w:p>
    <w:p>
      <w:r>
        <w:rPr>
          <w:rFonts w:ascii="Aptos" w:hAnsi="Aptos" w:eastAsia="Aptos"/>
          <w:color w:val="20313A"/>
          <w:sz w:val="20"/>
        </w:rPr>
        <w:t>The formally accepted limitations include incomplete verification of the E2 final output-root authorization chain; procedural blinding without enforced OS-level isolation; two documented custodian scope incidents; unresolved information propagation and complete evaluator-independence evidence; and researcher-attested rather than technically certified evaluator-session continuity. Acceptance closes the integrity-review workstream by researcher decision. It does not certify harmlessness, strict E2 compliance, perfect independence, or technical isolation. The historical records and uncertainty statements remain preserved. This paper does not reopen the closed investigation. [S07–S09]</w:t>
      </w:r>
    </w:p>
    <w:p>
      <w:r>
        <w:rPr>
          <w:rFonts w:ascii="Aptos" w:hAnsi="Aptos" w:eastAsia="Aptos"/>
          <w:color w:val="20313A"/>
          <w:sz w:val="20"/>
        </w:rPr>
        <w:t>The accepted register acknowledges historical E2 final-seal and designated-context access-test evidence. Its existence corrects the older readiness report's no-final-freeze assertion, but does not certify applicability to later ordinary Codex sessions or future C contexts. Likewise, fresh-role and preflight controls in the prospective C deviation record are procedural controls; that record expressly does not demonstrate enforced access separation or authorize a C launch by itself. These qualifications limit the interpretation of the intended blinded evaluation. [S09–S11]</w:t>
      </w:r>
    </w:p>
    <w:p>
      <w:pPr>
        <w:pStyle w:val="Heading2"/>
      </w:pPr>
      <w:r>
        <w:rPr>
          <w:rFonts w:ascii="Aptos" w:hAnsi="Aptos" w:eastAsia="Aptos"/>
          <w:color w:val="087E9B"/>
          <w:sz w:val="23"/>
        </w:rPr>
        <w:t>4.3 Exploratory reveal exception and small-cell uncertainty</w:t>
      </w:r>
    </w:p>
    <w:p>
      <w:r>
        <w:rPr>
          <w:rFonts w:ascii="Aptos" w:hAnsi="Aptos" w:eastAsia="Aptos"/>
          <w:color w:val="20313A"/>
          <w:sz w:val="20"/>
        </w:rPr>
        <w:t>EA-01 v1.3 fixed the accepted ratings extraction and v1.4 fixed the statistical design before this treatment analysis. The old nine-ID source was unsuitable and its failed schema attempt is preserved. SC01 corrected the source binding after the original v1.4 lock and before the correct 48-observation assignments were decoded. RD01 is a separately dated, hash-bound researcher exception permitting this analyst-only join before completion of the original full-S4 freeze. The exception was approved after the original protocol but before the authoritative treatment reveal used here; it neither rewrote scores/statistical rules nor certified original S4/E4 completion. Historical prior-exposure and access limitations remain disclosed in Section 4.2; no lifetime-blinding claim is made. [EA-01 locks; SC01; RD01; analysis audit]</w:t>
      </w:r>
    </w:p>
    <w:p>
      <w:r>
        <w:rPr>
          <w:rFonts w:ascii="Aptos" w:hAnsi="Aptos" w:eastAsia="Aptos"/>
          <w:color w:val="20313A"/>
          <w:sz w:val="20"/>
        </w:rPr>
        <w:t>There are only three assigned observations per design cell and often one or two eligible component observations. Welch–Satterthwaite intervals are a prespecified working approximation using observation-level variance within fixed case/model strata. With degrees of freedom near one, intervals can be extremely wide and extend beyond the bounded score scale; they are reported without truncation or method substitution. One-record cells cannot provide an interval. Shared case tasks, ordinal item credits and unresolved dependence limit the independent-observation approximation. The nominal intervals are not adjusted for the multiple outcomes, evaluators and contrasts. [EA-01 v1.4; verified interval calculations]</w:t>
      </w:r>
    </w:p>
    <w:p>
      <w:r>
        <w:rPr>
          <w:rFonts w:ascii="Aptos" w:hAnsi="Aptos" w:eastAsia="Aptos"/>
          <w:color w:val="20313A"/>
          <w:sz w:val="20"/>
        </w:rPr>
        <w:t>The two cases and fixed model/runtime configurations are a limited experimental setting rather than a sample of all legal-agent deployments. The contrast concerns SeaFlow availability beyond permitted general web search, not successful retrieval exposure or all external information. Inclusion of the one accepted deviation preserves the qualitative uncertainty conclusion but changes some point estimates and precision. Local hashes establish byte consistency, not independent signatures, technical isolation, or a fresh semantic review of the ratings. Engineering candidate acceptance outside the authorized PAPER_RELEASE set does not enlarge this paper's evidence scope. [S03, S06–S09, S16–S21; aggregate sensitivity outputs]</w:t>
      </w:r>
    </w:p>
    <w:p>
      <w:pPr>
        <w:pStyle w:val="Heading2"/>
      </w:pPr>
      <w:r>
        <w:rPr>
          <w:rFonts w:ascii="Aptos" w:hAnsi="Aptos" w:eastAsia="Aptos"/>
          <w:color w:val="087E9B"/>
          <w:sz w:val="23"/>
        </w:rPr>
        <w:t>4.4 Scope of performance and revision</w:t>
      </w:r>
    </w:p>
    <w:p>
      <w:r>
        <w:rPr>
          <w:rFonts w:ascii="Aptos" w:hAnsi="Aptos" w:eastAsia="Aptos"/>
          <w:color w:val="20313A"/>
          <w:sz w:val="20"/>
        </w:rPr>
        <w:t>The study estimates neither commercial outcomes nor performance without web search. Both conditions permit general web search and fetching; invocation and delivered evidence were not measured. The RD01 reveal exception is specific to this post-protocol exploratory analysis and leaves original S4/E4 incomplete. The title and narrative framing in this version are post-analysis presentation choices, not an original preregistered hypothesis that retrieval would improve performance.</w:t>
      </w:r>
    </w:p>
    <w:p>
      <w:pPr>
        <w:pStyle w:val="Heading1"/>
      </w:pPr>
      <w:r>
        <w:rPr>
          <w:rFonts w:ascii="Aptos" w:hAnsi="Aptos" w:eastAsia="Aptos"/>
          <w:color w:val="064B66"/>
          <w:sz w:val="30"/>
        </w:rPr>
        <w:t>5. Conclusion</w:t>
      </w:r>
    </w:p>
    <w:p>
      <w:r>
        <w:rPr>
          <w:rFonts w:ascii="Aptos" w:hAnsi="Aptos" w:eastAsia="Aptos"/>
          <w:color w:val="20313A"/>
          <w:sz w:val="20"/>
        </w:rPr>
        <w:t>This exploratory study measures SeaFlow retrieval availability as an addition to a web-enabled legal-agent baseline. It finds mixed evaluator- and case-specific Common70 point differences and very wide uncertainty in several small cells. All 17 finite individual RAG intervals across available components include zero. The M01 and M03 patterns do not establish a general positive retrieval gain, while the uncertainty does not prove a true null. A single Study 1/M03/A1 interaction merits description as a conditional exploratory result; its A2 counterpart is unavailable under the locked variance rule.</w:t>
      </w:r>
    </w:p>
    <w:p>
      <w:r>
        <w:rPr>
          <w:rFonts w:ascii="Aptos" w:hAnsi="Aptos" w:eastAsia="Aptos"/>
          <w:color w:val="20313A"/>
          <w:sz w:val="20"/>
        </w:rPr>
        <w:t>The results support a methodological lesson: retrieval evaluation needs a demanding explicit baseline, frozen scoring rules, direct measurement of evidence delivery, transparent missingness, and fail-closed data joins. Here the corrected source chain, independent numerical verification, and revised plot improve traceability. The original S4/E4 evaluation remains incomplete; these observations establish no commercial outcome, offline performance, or unreleased engineering result.</w:t>
      </w:r>
    </w:p>
    <w:p>
      <w:pPr>
        <w:pStyle w:val="Heading2"/>
      </w:pPr>
      <w:r>
        <w:rPr>
          <w:rFonts w:ascii="Aptos" w:hAnsi="Aptos" w:eastAsia="Aptos"/>
          <w:color w:val="087E9B"/>
          <w:sz w:val="23"/>
        </w:rPr>
        <w:t>References</w:t>
      </w:r>
    </w:p>
    <w:p>
      <w:r>
        <w:rPr>
          <w:rFonts w:ascii="Aptos" w:hAnsi="Aptos" w:eastAsia="Aptos"/>
          <w:color w:val="20313A"/>
          <w:sz w:val="20"/>
        </w:rPr>
        <w:t xml:space="preserve">References are restricted to functional study records. Source IDs resolve to exact hashes, paths, evidence status, and acceptance basis in </w:t>
      </w:r>
      <w:r>
        <w:rPr>
          <w:rFonts w:ascii="Consolas" w:hAnsi="Consolas" w:eastAsia="Aptos"/>
          <w:color w:val="064B66"/>
          <w:sz w:val="18"/>
        </w:rPr>
        <w:t>FIXED_EVIDENCE_SOURCE_REGISTER.json</w:t>
      </w:r>
      <w:r>
        <w:rPr>
          <w:rFonts w:ascii="Aptos" w:hAnsi="Aptos" w:eastAsia="Aptos"/>
          <w:color w:val="20313A"/>
          <w:sz w:val="20"/>
        </w:rPr>
        <w:t>; no external literature is used as a substitute for experimental evidence.</w:t>
      </w:r>
    </w:p>
    <w:p>
      <w:pPr>
        <w:pStyle w:val="ListBullet"/>
        <w:spacing w:after="50"/>
      </w:pPr>
      <w:r>
        <w:rPr>
          <w:rFonts w:ascii="Aptos" w:hAnsi="Aptos" w:eastAsia="Aptos"/>
          <w:b/>
          <w:color w:val="20313A"/>
          <w:sz w:val="19"/>
        </w:rPr>
        <w:t>S01–S02.</w:t>
      </w:r>
      <w:r>
        <w:rPr>
          <w:rFonts w:ascii="Aptos" w:hAnsi="Aptos" w:eastAsia="Aptos"/>
          <w:color w:val="20313A"/>
          <w:sz w:val="19"/>
        </w:rPr>
        <w:t xml:space="preserve"> Effective E1 corrective freeze manifest and E1-FINAL-v1.0.1 scoring implementation protocol.</w:t>
      </w:r>
    </w:p>
    <w:p>
      <w:pPr>
        <w:pStyle w:val="ListBullet"/>
        <w:spacing w:after="50"/>
      </w:pPr>
      <w:r>
        <w:rPr>
          <w:rFonts w:ascii="Aptos" w:hAnsi="Aptos" w:eastAsia="Aptos"/>
          <w:b/>
          <w:color w:val="20313A"/>
          <w:sz w:val="19"/>
        </w:rPr>
        <w:t>S03–S06.</w:t>
      </w:r>
      <w:r>
        <w:rPr>
          <w:rFonts w:ascii="Aptos" w:hAnsi="Aptos" w:eastAsia="Aptos"/>
          <w:color w:val="20313A"/>
          <w:sz w:val="19"/>
        </w:rPr>
        <w:t xml:space="preserve"> Base Main Experiment Protocol V2, original scoring standard, blind judge rubric, and General Search Baseline Reconciliation V2; each hash-bound in S01.</w:t>
      </w:r>
    </w:p>
    <w:p>
      <w:pPr>
        <w:pStyle w:val="ListBullet"/>
        <w:spacing w:after="50"/>
      </w:pPr>
      <w:r>
        <w:rPr>
          <w:rFonts w:ascii="Aptos" w:hAnsi="Aptos" w:eastAsia="Aptos"/>
          <w:b/>
          <w:color w:val="20313A"/>
          <w:sz w:val="19"/>
        </w:rPr>
        <w:t>S07–S10.</w:t>
      </w:r>
      <w:r>
        <w:rPr>
          <w:rFonts w:ascii="Aptos" w:hAnsi="Aptos" w:eastAsia="Aptos"/>
          <w:color w:val="20313A"/>
          <w:sz w:val="19"/>
        </w:rPr>
        <w:t xml:space="preserve"> Researcher authorization, limitation-acceptance decision, accepted limitation register, and prospective C execution deviation.</w:t>
      </w:r>
    </w:p>
    <w:p>
      <w:pPr>
        <w:pStyle w:val="ListBullet"/>
        <w:spacing w:after="50"/>
      </w:pPr>
      <w:r>
        <w:rPr>
          <w:rFonts w:ascii="Aptos" w:hAnsi="Aptos" w:eastAsia="Aptos"/>
          <w:b/>
          <w:color w:val="20313A"/>
          <w:sz w:val="19"/>
        </w:rPr>
        <w:t>S11.</w:t>
      </w:r>
      <w:r>
        <w:rPr>
          <w:rFonts w:ascii="Aptos" w:hAnsi="Aptos" w:eastAsia="Aptos"/>
          <w:color w:val="20313A"/>
          <w:sz w:val="19"/>
        </w:rPr>
        <w:t xml:space="preserve"> Dual-evaluator readiness report V2: fixed accounting with later limitation dispositions controlling historical status interpretation.</w:t>
      </w:r>
    </w:p>
    <w:p>
      <w:pPr>
        <w:pStyle w:val="ListBullet"/>
        <w:spacing w:after="50"/>
      </w:pPr>
      <w:r>
        <w:rPr>
          <w:rFonts w:ascii="Aptos" w:hAnsi="Aptos" w:eastAsia="Aptos"/>
          <w:b/>
          <w:color w:val="20313A"/>
          <w:sz w:val="19"/>
        </w:rPr>
        <w:t>S12–S15.</w:t>
      </w:r>
      <w:r>
        <w:rPr>
          <w:rFonts w:ascii="Aptos" w:hAnsi="Aptos" w:eastAsia="Aptos"/>
          <w:color w:val="20313A"/>
          <w:sz w:val="19"/>
        </w:rPr>
        <w:t xml:space="preserve"> Fixed C workload-containment report, researcher authorization evidence, first authoritative acceptance report, and consolidated screening receipt index.</w:t>
      </w:r>
    </w:p>
    <w:p>
      <w:pPr>
        <w:pStyle w:val="ListBullet"/>
        <w:spacing w:after="50"/>
      </w:pPr>
      <w:r>
        <w:rPr>
          <w:rFonts w:ascii="Aptos" w:hAnsi="Aptos" w:eastAsia="Aptos"/>
          <w:b/>
          <w:color w:val="20313A"/>
          <w:sz w:val="19"/>
        </w:rPr>
        <w:t>S16.</w:t>
      </w:r>
      <w:r>
        <w:rPr>
          <w:rFonts w:ascii="Aptos" w:hAnsi="Aptos" w:eastAsia="Aptos"/>
          <w:color w:val="20313A"/>
          <w:sz w:val="19"/>
        </w:rPr>
        <w:t xml:space="preserve"> Accepted preparation input bindings for evaluator locks and available receipt references.</w:t>
      </w:r>
    </w:p>
    <w:p>
      <w:pPr>
        <w:pStyle w:val="ListBullet"/>
        <w:spacing w:after="50"/>
      </w:pPr>
      <w:r>
        <w:rPr>
          <w:rFonts w:ascii="Aptos" w:hAnsi="Aptos" w:eastAsia="Aptos"/>
          <w:b/>
          <w:color w:val="20313A"/>
          <w:sz w:val="19"/>
        </w:rPr>
        <w:t>S17–S18.</w:t>
      </w:r>
      <w:r>
        <w:rPr>
          <w:rFonts w:ascii="Aptos" w:hAnsi="Aptos" w:eastAsia="Aptos"/>
          <w:color w:val="20313A"/>
          <w:sz w:val="19"/>
        </w:rPr>
        <w:t xml:space="preserve"> Sealed execution-summary excerpt and researcher execution-exception excerpt; exact source hashes and excerpt boundaries retained.</w:t>
      </w:r>
    </w:p>
    <w:p>
      <w:pPr>
        <w:pStyle w:val="ListBullet"/>
        <w:spacing w:after="50"/>
      </w:pPr>
      <w:r>
        <w:rPr>
          <w:rFonts w:ascii="Aptos" w:hAnsi="Aptos" w:eastAsia="Aptos"/>
          <w:b/>
          <w:color w:val="20313A"/>
          <w:sz w:val="19"/>
        </w:rPr>
        <w:t>EA-01 v1.3/v1.4, SC01 and RD01.</w:t>
      </w:r>
      <w:r>
        <w:rPr>
          <w:rFonts w:ascii="Aptos" w:hAnsi="Aptos" w:eastAsia="Aptos"/>
          <w:color w:val="20313A"/>
          <w:sz w:val="19"/>
        </w:rPr>
        <w:t xml:space="preserve"> Fixed A1/A2 scoring projection, locked exploratory statistical specification, additive authoritative source/parser correction, dated researcher reveal exception and verified aggregate result manifest. Original locks and historical stop events remain separately preserved.</w:t>
      </w:r>
    </w:p>
    <w:p>
      <w:pPr>
        <w:pStyle w:val="Heading2"/>
      </w:pPr>
      <w:r>
        <w:rPr>
          <w:rFonts w:ascii="Aptos" w:hAnsi="Aptos" w:eastAsia="Aptos"/>
          <w:color w:val="087E9B"/>
          <w:sz w:val="23"/>
        </w:rPr>
        <w:t>Reproducibility appendices</w:t>
      </w:r>
    </w:p>
    <w:p>
      <w:r>
        <w:rPr>
          <w:rFonts w:ascii="Aptos" w:hAnsi="Aptos" w:eastAsia="Aptos"/>
          <w:b/>
          <w:color w:val="20313A"/>
          <w:sz w:val="20"/>
        </w:rPr>
        <w:t>Appendix A — Claim provenance.</w:t>
      </w:r>
      <w:r>
        <w:rPr>
          <w:rFonts w:ascii="Aptos" w:hAnsi="Aptos" w:eastAsia="Aptos"/>
          <w:color w:val="20313A"/>
          <w:sz w:val="20"/>
        </w:rPr>
        <w:t xml:space="preserve"> Citations are at claim-group level and include the applicable status boundary. EA-01 numerical summaries derive from accepted A1/A2 locks through the v1.3 projection, whose output manifest binds each derived file. S11 is used for evaluator/DC accounting, with S09 governing its superseded E2 and investigation-status assertions. Design and scoring quantities come from effective hash-bound protocol sources. Interpretation and future methodological recommendations are identified as such rather than presented as new empirical findings.</w:t>
      </w:r>
    </w:p>
    <w:p>
      <w:r>
        <w:rPr>
          <w:rFonts w:ascii="Aptos" w:hAnsi="Aptos" w:eastAsia="Aptos"/>
          <w:b/>
          <w:color w:val="20313A"/>
          <w:sz w:val="20"/>
        </w:rPr>
        <w:t>Appendix B — Data and calculations.</w:t>
      </w:r>
      <w:r>
        <w:rPr>
          <w:rFonts w:ascii="Aptos" w:hAnsi="Aptos" w:eastAsia="Aptos"/>
          <w:color w:val="20313A"/>
          <w:sz w:val="20"/>
        </w:rPr>
        <w:t xml:space="preserve"> The original blinded v1.3 projection and its output manifest remain unchanged. REPRODUCIBLE_ANALYSIS/rag_effects_v1_4/authorized_sc01_results_v1/ contains the full two-population RAG table, interactions, within-RAG model contrasts, cell accounting, deviation sensitivity, analysis audit and SHA-256 output manifest. This local manuscript copy contains aggregate results only; the identity-aware join was in memory and was not persisted. SC01 locks the exact parser, schema dependency and synthetic tests; the separate execution-controller lock preserves the v1.4 mathematical implementation and fixed outcome and population rules without modifying the original executable.</w:t>
      </w:r>
    </w:p>
    <w:p>
      <w:r>
        <w:rPr>
          <w:rFonts w:ascii="Aptos" w:hAnsi="Aptos" w:eastAsia="Aptos"/>
          <w:b/>
          <w:color w:val="20313A"/>
          <w:sz w:val="20"/>
        </w:rPr>
        <w:t>Appendix C — Amendment and release boundary.</w:t>
      </w:r>
      <w:r>
        <w:rPr>
          <w:rFonts w:ascii="Aptos" w:hAnsi="Aptos" w:eastAsia="Aptos"/>
          <w:color w:val="20313A"/>
          <w:sz w:val="20"/>
        </w:rPr>
        <w:t xml:space="preserve"> The original v1.4 nine-ID binding and all stop events are preserved. SC01 is a later source correction, and RD01 is an explicit exploratory timing exception recorded before the correct authoritative assignments were decoded. This analysis does not complete original S4 reconciliation or E4. No new scoring or C work occurred. Engineering incorporation still requires its own verification, explicit researcher fixation, nonempty sanitized findings set and PAPER_RELEASE authorization. No engineering-release candidate was imported.</w:t>
      </w:r>
    </w:p>
    <w:sectPr w:rsidR="00FC693F" w:rsidRPr="0006063C" w:rsidSect="00034616">
      <w:footerReference w:type="default" r:id="rId9"/>
      <w:pgSz w:w="12240" w:h="15840"/>
      <w:pgMar w:top="1008"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26771"/>
        <w:sz w:val="16"/>
      </w:rPr>
      <w:t xml:space="preserve">SEAFLOW 2×2  |  WORKING PAPER  •  </w:t>
    </w:r>
    <w:r>
      <w:rPr>
        <w:rFonts w:ascii="Aptos" w:hAnsi="Aptos" w:eastAsia="Aptos"/>
        <w:color w:val="526771"/>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eastAsia="Aptos"/>
      <w:color w:val="203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Display"/>
      <w:b/>
      <w:bCs/>
      <w:color w:val="064B66"/>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087E9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the Incremental Value of Evidence-First Legal Retrieval: An Exploratory Cross-Model Study of SeaFlow</dc:title>
  <dc:subject>Empirical working paper on model and retrieval conditions in legal-agent evaluation</dc:subject>
  <dc:creator>Peng Wang</dc:creator>
  <cp:keywords>SeaFlow, legal agents, retrieval, blinded evaluation,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