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商品评论洞察引擎 (User Voice AI) - 从 0 到 1 产品架构与复盘文档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 背景与目标定义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在电商业务场景中，海量的用户评论是极具价值的反馈金矿，但传统的人工阅读方式效率极低且容易受主观偏差影响。本项目旨在通过 AI 技术，构建一个自动化的</w:t>
      </w:r>
      <w:r>
        <w:rPr>
          <w:rFonts w:eastAsia="等线" w:ascii="Arial" w:cs="Arial" w:hAnsi="Arial"/>
          <w:b w:val="true"/>
          <w:sz w:val="22"/>
        </w:rPr>
        <w:t>商品评论洞察引擎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输入与输出定义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：非结构化的商品历史评论数据（CSV 格式，拉取的数据维度：</w:t>
      </w:r>
      <w:hyperlink r:id="rId5">
        <w:r>
          <w:rPr>
            <w:rFonts w:eastAsia="等线" w:ascii="Arial" w:cs="Arial" w:hAnsi="Arial"/>
            <w:color w:val="3370ff"/>
            <w:sz w:val="22"/>
          </w:rPr>
          <w:t>商品评论洞察引擎：底层数据输入规范与维度设计</w:t>
        </w:r>
      </w:hyperlink>
      <w:r>
        <w:rPr>
          <w:rFonts w:eastAsia="等线" w:ascii="Arial" w:cs="Arial" w:hAnsi="Arial"/>
          <w:sz w:val="22"/>
        </w:rPr>
        <w:t>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宏观看板（Macro Insights）</w:t>
      </w:r>
      <w:r>
        <w:rPr>
          <w:rFonts w:eastAsia="等线" w:ascii="Arial" w:cs="Arial" w:hAnsi="Arial"/>
          <w:sz w:val="22"/>
        </w:rPr>
        <w:t>：输出一份结构化的“商品评论洞察报告”，通过数据统计和图表，帮助业务方快速锁定商品评论映射出的核心问题</w:t>
      </w:r>
      <w:hyperlink r:id="rId6">
        <w:r>
          <w:rPr>
            <w:rFonts w:eastAsia="等线" w:ascii="Arial" w:cs="Arial" w:hAnsi="Arial"/>
            <w:color w:val="3370ff"/>
            <w:sz w:val="22"/>
          </w:rPr>
          <w:t>商品评论洞察引擎：报告模块设计与 Actionable 准则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微观检索（Micro Drill-down）</w:t>
      </w:r>
      <w:r>
        <w:rPr>
          <w:rFonts w:eastAsia="等线" w:ascii="Arial" w:cs="Arial" w:hAnsi="Arial"/>
          <w:sz w:val="22"/>
        </w:rPr>
        <w:t>：提供对话式的检索，支持用户以自然语言进一步下钻追问（例如：“用户说鞋子掉色主要集中在什么颜色？”），并返回归纳结论及对应最相关top10 的“评论原声”溯源。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 架构比选与决策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在技术选型上，我们从“交互层、中台层、底层数据”三个维度进行了架构比选：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纯 Agent 方案的局限</w:t>
      </w:r>
      <w:r>
        <w:rPr>
          <w:rFonts w:eastAsia="等线" w:ascii="Arial" w:cs="Arial" w:hAnsi="Arial"/>
          <w:sz w:val="22"/>
        </w:rPr>
        <w:t>：在面对海量数据提取和严谨的统计分析时，纯 Agent（如让模型自己写代码读表格然后直接出报告）存在巨大的执行不确定性。长文本容易造成“中间遗忘”，极易产生统计学上的幻觉，且 API 调用成本不可控。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最终确定的架构：Skill  (Workflow + RAG)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底层数据与检索层 (RAG + Vector DB)</w:t>
      </w:r>
      <w:r>
        <w:rPr>
          <w:rFonts w:eastAsia="等线" w:ascii="Arial" w:cs="Arial" w:hAnsi="Arial"/>
          <w:sz w:val="22"/>
        </w:rPr>
        <w:t>：使用轻量级向量数据库存储 Embedding，配合 Metadata Filtering 实现精准的语义检索，约束模型的回答并支持原文溯源；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中台架构 (Workflow + RAG)</w:t>
      </w:r>
      <w:r>
        <w:rPr>
          <w:rFonts w:eastAsia="等线" w:ascii="Arial" w:cs="Arial" w:hAnsi="Arial"/>
          <w:sz w:val="22"/>
        </w:rPr>
        <w:t xml:space="preserve">：宏观报表部分采用 </w:t>
      </w:r>
      <w:r>
        <w:rPr>
          <w:rFonts w:eastAsia="等线" w:ascii="Arial" w:cs="Arial" w:hAnsi="Arial"/>
          <w:b w:val="true"/>
          <w:sz w:val="22"/>
        </w:rPr>
        <w:t>Workflow（代码硬规则控制的数据流）</w:t>
      </w:r>
      <w:r>
        <w:rPr>
          <w:rFonts w:eastAsia="等线" w:ascii="Arial" w:cs="Arial" w:hAnsi="Arial"/>
          <w:sz w:val="22"/>
        </w:rPr>
        <w:t xml:space="preserve"> 来执行分批处理和统计，确保聚合数据的高准确性和低幻觉；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交互交付层 (Skill)</w:t>
      </w:r>
      <w:r>
        <w:rPr>
          <w:rFonts w:eastAsia="等线" w:ascii="Arial" w:cs="Arial" w:hAnsi="Arial"/>
          <w:sz w:val="22"/>
        </w:rPr>
        <w:t>：将复杂的后台流封装为协同软件（如飞书/钉钉）中的 Skill 或轻量 Web 应用，做到“即插即用”，以最轻的形态融入业务人员的日常工作流。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 核心链路实现细节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3.1 阶段一：数据清洗与结构化 (Workflow - Map 阶段)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业务逻辑</w:t>
      </w:r>
      <w:r>
        <w:rPr>
          <w:rFonts w:eastAsia="等线" w:ascii="Arial" w:cs="Arial" w:hAnsi="Arial"/>
          <w:sz w:val="22"/>
        </w:rPr>
        <w:t>：用户输入 CSV 后，代码逐行或分批读取数据，调用大语言模型（DeepSeek）API。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强类型输出</w:t>
      </w:r>
      <w:r>
        <w:rPr>
          <w:rFonts w:eastAsia="等线" w:ascii="Arial" w:cs="Arial" w:hAnsi="Arial"/>
          <w:sz w:val="22"/>
        </w:rPr>
        <w:t xml:space="preserve">：为避免 LLM 返回格式混乱的文本，我们在代码层面使用 </w:t>
      </w:r>
      <w:r>
        <w:rPr>
          <w:rFonts w:eastAsia="等线" w:ascii="Arial" w:cs="Arial" w:hAnsi="Arial"/>
          <w:b w:val="true"/>
          <w:sz w:val="22"/>
        </w:rPr>
        <w:t>Pydantic</w:t>
      </w:r>
      <w:r>
        <w:rPr>
          <w:rFonts w:eastAsia="等线" w:ascii="Arial" w:cs="Arial" w:hAnsi="Arial"/>
          <w:sz w:val="22"/>
        </w:rPr>
        <w:t xml:space="preserve"> 库定义了严格的数据结构（Schema），并结合 </w:t>
      </w:r>
      <w:r>
        <w:rPr>
          <w:rFonts w:eastAsia="等线" w:ascii="Arial" w:cs="Arial" w:hAnsi="Arial"/>
          <w:b w:val="true"/>
          <w:sz w:val="22"/>
        </w:rPr>
        <w:t>Instructor</w:t>
      </w:r>
      <w:r>
        <w:rPr>
          <w:rFonts w:eastAsia="等线" w:ascii="Arial" w:cs="Arial" w:hAnsi="Arial"/>
          <w:sz w:val="22"/>
        </w:rPr>
        <w:t xml:space="preserve"> 库，强制模型将非结构化评论转换为强类型的 JSON 格式，包含必须字段</w:t>
      </w:r>
      <w:hyperlink r:id="rId7">
        <w:r>
          <w:rPr>
            <w:rFonts w:eastAsia="等线" w:ascii="Arial" w:cs="Arial" w:hAnsi="Arial"/>
            <w:color w:val="3370ff"/>
            <w:sz w:val="22"/>
          </w:rPr>
          <w:t>商品评论洞察引擎：LLM 结构化提取 JSON Schema 设计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3.2 阶段二：宏观洞察统计 (Workflow - Reduce 阶段)</w:t>
      </w:r>
      <w:bookmarkEnd w:id="5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业务逻辑</w:t>
      </w:r>
      <w:r>
        <w:rPr>
          <w:rFonts w:eastAsia="等线" w:ascii="Arial" w:cs="Arial" w:hAnsi="Arial"/>
          <w:sz w:val="22"/>
        </w:rPr>
        <w:t>：将第一阶段生成的结构化 JSON 数据追加保存为新的结构化 CSV（或入库）。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统计与生成</w:t>
      </w:r>
      <w:r>
        <w:rPr>
          <w:rFonts w:eastAsia="等线" w:ascii="Arial" w:cs="Arial" w:hAnsi="Arial"/>
          <w:sz w:val="22"/>
        </w:rPr>
        <w:t xml:space="preserve">：使用 Pandas 库对新 CSV 进行传统的数据分析（如 </w:t>
      </w:r>
      <w:r>
        <w:rPr>
          <w:rFonts w:eastAsia="Consolas" w:ascii="Consolas" w:cs="Consolas" w:hAnsi="Consolas"/>
          <w:sz w:val="22"/>
          <w:shd w:fill="EFF0F1"/>
        </w:rPr>
        <w:t>groupby</w:t>
      </w:r>
      <w:r>
        <w:rPr>
          <w:rFonts w:eastAsia="等线" w:ascii="Arial" w:cs="Arial" w:hAnsi="Arial"/>
          <w:sz w:val="22"/>
        </w:rPr>
        <w:t xml:space="preserve"> 操作），计算出各 </w:t>
      </w:r>
      <w:r>
        <w:rPr>
          <w:rFonts w:eastAsia="Consolas" w:ascii="Consolas" w:cs="Consolas" w:hAnsi="Consolas"/>
          <w:sz w:val="22"/>
          <w:shd w:fill="EFF0F1"/>
        </w:rPr>
        <w:t>category</w:t>
      </w:r>
      <w:r>
        <w:rPr>
          <w:rFonts w:eastAsia="等线" w:ascii="Arial" w:cs="Arial" w:hAnsi="Arial"/>
          <w:sz w:val="22"/>
        </w:rPr>
        <w:t xml:space="preserve"> 的占比、提及次数最多的 Top 3 问题模块。最后调用 LLM，将统计图表（或数据）转化为业务视角的洞察报告。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3.3 阶段三：RAG 问答库构建 (微观检索)</w:t>
      </w:r>
      <w:bookmarkEnd w:id="6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知识入库</w:t>
      </w:r>
      <w:r>
        <w:rPr>
          <w:rFonts w:eastAsia="等线" w:ascii="Arial" w:cs="Arial" w:hAnsi="Arial"/>
          <w:sz w:val="22"/>
        </w:rPr>
        <w:t xml:space="preserve">：使用 LangChain 框架（或轻量的 ChromaDB / FAISS），读取原始的 </w:t>
      </w:r>
      <w:r>
        <w:rPr>
          <w:rFonts w:eastAsia="Consolas" w:ascii="Consolas" w:cs="Consolas" w:hAnsi="Consolas"/>
          <w:sz w:val="22"/>
          <w:shd w:fill="EFF0F1"/>
        </w:rPr>
        <w:t>reviews.csv</w:t>
      </w:r>
      <w:r>
        <w:rPr>
          <w:rFonts w:eastAsia="等线" w:ascii="Arial" w:cs="Arial" w:hAnsi="Arial"/>
          <w:sz w:val="22"/>
        </w:rPr>
        <w:t>，将所有“评论原声”进行 Embedding（词嵌入向量化）并存入本地向量数据库。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检索与问答</w:t>
      </w:r>
      <w:r>
        <w:rPr>
          <w:rFonts w:eastAsia="等线" w:ascii="Arial" w:cs="Arial" w:hAnsi="Arial"/>
          <w:sz w:val="22"/>
        </w:rPr>
        <w:t xml:space="preserve">：构建检索函数。当用户输入问题时，先去向量库召回最相关的 Top 10 条评论；然后将这 10 条原文作为上下文（Context）拼接进 Prompt，约束 LLM 仅基于这 10 条真实数据生成答案，并在回答末尾附上 </w:t>
      </w:r>
      <w:r>
        <w:rPr>
          <w:rFonts w:eastAsia="Consolas" w:ascii="Consolas" w:cs="Consolas" w:hAnsi="Consolas"/>
          <w:sz w:val="22"/>
          <w:shd w:fill="EFF0F1"/>
        </w:rPr>
        <w:t>[1][2]</w:t>
      </w:r>
      <w:r>
        <w:rPr>
          <w:rFonts w:eastAsia="等线" w:ascii="Arial" w:cs="Arial" w:hAnsi="Arial"/>
          <w:sz w:val="22"/>
        </w:rPr>
        <w:t xml:space="preserve"> 的原文引用标号。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四、 核心挑战与解决策略 (踩坑复盘)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PoC（概念验证）和开发过程中，我们遇到并解决了一系列工程与产品问题：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4.1 数据结构化环节的挑战</w:t>
      </w:r>
      <w:bookmarkEnd w:id="8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数据噪声大</w:t>
      </w:r>
      <w:r>
        <w:rPr>
          <w:rFonts w:eastAsia="等线" w:ascii="Arial" w:cs="Arial" w:hAnsi="Arial"/>
          <w:sz w:val="22"/>
        </w:rPr>
        <w:t>：部分评论仅包含“好”、“默认好评”或纯表情符号，浪费 API token 且干扰统计。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解决方案 (长度与启发式过滤)</w:t>
      </w:r>
      <w:r>
        <w:rPr>
          <w:rFonts w:eastAsia="等线" w:ascii="Arial" w:cs="Arial" w:hAnsi="Arial"/>
          <w:sz w:val="22"/>
        </w:rPr>
        <w:t>：在输入 LLM 前，先用极简的 Python 脚本过滤掉长度小于 5 个字符、且不包含实质含义词汇的无价值评论。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分类结果发散（标签无法收敛）</w:t>
      </w:r>
      <w:r>
        <w:rPr>
          <w:rFonts w:eastAsia="等线" w:ascii="Arial" w:cs="Arial" w:hAnsi="Arial"/>
          <w:sz w:val="22"/>
        </w:rPr>
        <w:t>：如果不限制，模型每天发明的标签都不一样，导致无法做占比统计。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解决方案 (分类法降维)</w:t>
      </w:r>
      <w:r>
        <w:rPr>
          <w:rFonts w:eastAsia="等线" w:ascii="Arial" w:cs="Arial" w:hAnsi="Arial"/>
          <w:sz w:val="22"/>
        </w:rPr>
        <w:t>：在 Prompt 中维护一个硬编码的“标签字典”（Taxonomy），要求模型</w:t>
      </w:r>
      <w:r>
        <w:rPr>
          <w:rFonts w:eastAsia="等线" w:ascii="Arial" w:cs="Arial" w:hAnsi="Arial"/>
          <w:b w:val="true"/>
          <w:sz w:val="22"/>
        </w:rPr>
        <w:t>必须且只能</w:t>
      </w:r>
      <w:r>
        <w:rPr>
          <w:rFonts w:eastAsia="等线" w:ascii="Arial" w:cs="Arial" w:hAnsi="Arial"/>
          <w:sz w:val="22"/>
        </w:rPr>
        <w:t>从指定的若干个分类中做单选题，将开放生成任务降维成闭卷分类任务。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理解偏差与阴阳怪气识别难</w:t>
      </w:r>
      <w:r>
        <w:rPr>
          <w:rFonts w:eastAsia="等线" w:ascii="Arial" w:cs="Arial" w:hAnsi="Arial"/>
          <w:sz w:val="22"/>
        </w:rPr>
        <w:t>：遇到反讽（如：“真是买了个祖宗回来”），单次 LLM 容易打错标签。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解决方案 (共识机制 + HITL)</w:t>
      </w:r>
      <w:r>
        <w:rPr>
          <w:rFonts w:eastAsia="等线" w:ascii="Arial" w:cs="Arial" w:hAnsi="Arial"/>
          <w:sz w:val="22"/>
        </w:rPr>
        <w:t>：对于模型打标产生低置信度（通过 logprobs 或多模型校验发现分歧）的少部分数据，系统不自动入库，而是流入“人工复核池”（Human-in-the-loop），由运营在页面上点击确认。此外，利用 CO-STAR 提示词框架并加入 Few-shot（包含大量反讽负样本），显著提升了模型的语境理解力。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4.2 宏观洞察环节的挑战</w:t>
      </w:r>
      <w:bookmarkEnd w:id="9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“中间遗忘”与上下文截断</w:t>
      </w:r>
      <w:r>
        <w:rPr>
          <w:rFonts w:eastAsia="等线" w:ascii="Arial" w:cs="Arial" w:hAnsi="Arial"/>
          <w:sz w:val="22"/>
        </w:rPr>
        <w:t>：初期图省事，把 500 条评论一次性塞给 LLM 让它打标或写报告，结果丢了 30% 的数据。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解决方案 (Chunk Size 优化与 Map-Reduce)</w:t>
      </w:r>
      <w:r>
        <w:rPr>
          <w:rFonts w:eastAsia="等线" w:ascii="Arial" w:cs="Arial" w:hAnsi="Arial"/>
          <w:sz w:val="22"/>
        </w:rPr>
        <w:t>：绝不依赖长文本窗口做批量结构化。设计动态切片逻辑（Batching），每 10 条数据切为一个 Chunk 喂给模型提取标签（Map）。最后的数据汇总是依靠 Python Pandas 完成精确计算（Reduce），确保一条都不漏。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模型输出 JSON 格式不稳定</w:t>
      </w:r>
      <w:r>
        <w:rPr>
          <w:rFonts w:eastAsia="等线" w:ascii="Arial" w:cs="Arial" w:hAnsi="Arial"/>
          <w:sz w:val="22"/>
        </w:rPr>
        <w:t>：模型偶尔在 JSON 外面加 markdown 标记，导致代码解析崩溃。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：除了前面提到的 Pydantic 约束，在代码中添加</w:t>
      </w:r>
      <w:r>
        <w:rPr>
          <w:rFonts w:eastAsia="等线" w:ascii="Arial" w:cs="Arial" w:hAnsi="Arial"/>
          <w:b w:val="true"/>
          <w:sz w:val="22"/>
        </w:rPr>
        <w:t>自动重试机制 (Auto-retry)</w:t>
      </w:r>
      <w:r>
        <w:rPr>
          <w:rFonts w:eastAsia="等线" w:ascii="Arial" w:cs="Arial" w:hAnsi="Arial"/>
          <w:sz w:val="22"/>
        </w:rPr>
        <w:t>，一旦 JSON 解析抛出异常，自动捕获错误并让 LLM 重新生成。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4.3 RAG 检索环节的挑战</w:t>
      </w:r>
      <w:bookmarkEnd w:id="10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向量检索的语义匹配局限</w:t>
      </w:r>
      <w:r>
        <w:rPr>
          <w:rFonts w:eastAsia="等线" w:ascii="Arial" w:cs="Arial" w:hAnsi="Arial"/>
          <w:sz w:val="22"/>
        </w:rPr>
        <w:t>：用户问“今天有什么负面反馈？”，向量模型其实很难匹配“负面”这个概念，因为评论里没人会直接说“这有个负面反馈”。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解决方案 (Metadata Filtering)</w:t>
      </w:r>
      <w:r>
        <w:rPr>
          <w:rFonts w:eastAsia="等线" w:ascii="Arial" w:cs="Arial" w:hAnsi="Arial"/>
          <w:sz w:val="22"/>
        </w:rPr>
        <w:t xml:space="preserve">：我们在存入向量库时，不仅存入评论原文，还将阶段一提取的结构化标签（sentiment, category）作为元数据（Metadata）一起存入。检索时，先按 metadata 过滤出 </w:t>
      </w:r>
      <w:r>
        <w:rPr>
          <w:rFonts w:eastAsia="Consolas" w:ascii="Consolas" w:cs="Consolas" w:hAnsi="Consolas"/>
          <w:sz w:val="22"/>
          <w:shd w:fill="EFF0F1"/>
        </w:rPr>
        <w:t>sentiment="负面"</w:t>
      </w:r>
      <w:r>
        <w:rPr>
          <w:rFonts w:eastAsia="等线" w:ascii="Arial" w:cs="Arial" w:hAnsi="Arial"/>
          <w:sz w:val="22"/>
        </w:rPr>
        <w:t xml:space="preserve"> 的池子，再去进行向量相似度匹配，极大提升了检索准确率。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五、 数据验证与上线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5.1 如何定义“跑通”（数据验证策略）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为了验证整个 Pipeline 的可靠性，我们设计了以下验证步骤：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建立黄金测试集（Golden Dataset）</w:t>
      </w:r>
      <w:r>
        <w:rPr>
          <w:rFonts w:eastAsia="等线" w:ascii="Arial" w:cs="Arial" w:hAnsi="Arial"/>
          <w:sz w:val="22"/>
        </w:rPr>
        <w:t>：人工抽取并标注了 100 条包含各类边缘场景（长句、反问、无意义内容）的反馈作为基准。测试 Workflow 的输出与人工标注的对齐率，在准确率达到 90% 以上才算 PoC 通过。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RAG 幻觉测试</w:t>
      </w:r>
      <w:r>
        <w:rPr>
          <w:rFonts w:eastAsia="等线" w:ascii="Arial" w:cs="Arial" w:hAnsi="Arial"/>
          <w:sz w:val="22"/>
        </w:rPr>
        <w:t>：构建包含 10 个业务问题的测试集，其中包含刻意编造的问题（如“用户对我们的航天飞机功能有什么看法？”）。验证 RAG 能否诚实地回答“未在评论中找到相关反馈”，而非胡编乱造。</w:t>
      </w:r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商品评论洞察引擎：PoC 测试数据与业务规则输入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5.2 交付与上线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验证通过后，我们将整个 Workflow 与 RAG 的逻辑封装到了 FastAPI 接口中，并对接到内部协同系统，作为一款标准的 </w:t>
      </w:r>
      <w:r>
        <w:rPr>
          <w:rFonts w:eastAsia="等线" w:ascii="Arial" w:cs="Arial" w:hAnsi="Arial"/>
          <w:b w:val="true"/>
          <w:sz w:val="22"/>
        </w:rPr>
        <w:t xml:space="preserve">Skill </w:t>
      </w:r>
      <w:r>
        <w:rPr>
          <w:rFonts w:eastAsia="等线" w:ascii="Arial" w:cs="Arial" w:hAnsi="Arial"/>
          <w:sz w:val="22"/>
        </w:rPr>
        <w:t>上线。产品经理和运营人员只需触发命令后上传csv表格，即可在几分钟内获得一份可溯源、高置信度的商品评论洞察闭环体验。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9"/>
      <w:headerReference w:type="firs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  <w:r>
      <w:drawing>
        <wp:anchor xmlns:wp="http://schemas.openxmlformats.org/drawingml/2006/wordprocessingDrawing"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1587</wp:posOffset>
          </wp:positionH>
          <wp:positionV relativeFrom="page">
            <wp:posOffset>0</wp:posOffset>
          </wp:positionV>
          <wp:extent cx="7556500" cy="1069340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8b10967-e78b-423b-a8ea-c9dbcb56435b_til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-2247</wp:posOffset>
          </wp:positionV>
          <wp:extent cx="7559675" cy="10697893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8b10967-e78b-423b-a8ea-c9dbcb56435b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7893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3135823">
    <w:lvl>
      <w:numFmt w:val="bullet"/>
      <w:suff w:val="tab"/>
      <w:lvlText w:val="•"/>
      <w:rPr>
        <w:color w:val="3370ff"/>
      </w:rPr>
    </w:lvl>
  </w:abstractNum>
  <w:abstractNum w:abstractNumId="3135824">
    <w:lvl>
      <w:numFmt w:val="bullet"/>
      <w:suff w:val="tab"/>
      <w:lvlText w:val="•"/>
      <w:rPr>
        <w:color w:val="3370ff"/>
      </w:rPr>
    </w:lvl>
  </w:abstractNum>
  <w:abstractNum w:abstractNumId="3135825">
    <w:lvl>
      <w:start w:val="1"/>
      <w:numFmt w:val="lowerLetter"/>
      <w:suff w:val="tab"/>
      <w:lvlText w:val="%1."/>
      <w:rPr>
        <w:color w:val="3370ff"/>
      </w:rPr>
    </w:lvl>
  </w:abstractNum>
  <w:abstractNum w:abstractNumId="3135826">
    <w:lvl>
      <w:start w:val="2"/>
      <w:numFmt w:val="lowerLetter"/>
      <w:suff w:val="tab"/>
      <w:lvlText w:val="%1."/>
      <w:rPr>
        <w:color w:val="3370ff"/>
      </w:rPr>
    </w:lvl>
  </w:abstractNum>
  <w:abstractNum w:abstractNumId="3135827">
    <w:lvl>
      <w:numFmt w:val="bullet"/>
      <w:suff w:val="tab"/>
      <w:lvlText w:val="•"/>
      <w:rPr>
        <w:color w:val="3370ff"/>
      </w:rPr>
    </w:lvl>
  </w:abstractNum>
  <w:abstractNum w:abstractNumId="3135828">
    <w:lvl>
      <w:numFmt w:val="bullet"/>
      <w:suff w:val="tab"/>
      <w:lvlText w:val="•"/>
      <w:rPr>
        <w:color w:val="3370ff"/>
      </w:rPr>
    </w:lvl>
  </w:abstractNum>
  <w:abstractNum w:abstractNumId="3135829">
    <w:lvl>
      <w:numFmt w:val="bullet"/>
      <w:suff w:val="tab"/>
      <w:lvlText w:val="￮"/>
      <w:rPr>
        <w:color w:val="3370ff"/>
      </w:rPr>
    </w:lvl>
  </w:abstractNum>
  <w:abstractNum w:abstractNumId="3135830">
    <w:lvl>
      <w:numFmt w:val="bullet"/>
      <w:suff w:val="tab"/>
      <w:lvlText w:val="￮"/>
      <w:rPr>
        <w:color w:val="3370ff"/>
      </w:rPr>
    </w:lvl>
  </w:abstractNum>
  <w:abstractNum w:abstractNumId="3135831">
    <w:lvl>
      <w:numFmt w:val="bullet"/>
      <w:suff w:val="tab"/>
      <w:lvlText w:val="￮"/>
      <w:rPr>
        <w:color w:val="3370ff"/>
      </w:rPr>
    </w:lvl>
  </w:abstractNum>
  <w:abstractNum w:abstractNumId="3135832">
    <w:lvl>
      <w:numFmt w:val="bullet"/>
      <w:suff w:val="tab"/>
      <w:lvlText w:val="•"/>
      <w:rPr>
        <w:color w:val="3370ff"/>
      </w:rPr>
    </w:lvl>
  </w:abstractNum>
  <w:abstractNum w:abstractNumId="3135833">
    <w:lvl>
      <w:numFmt w:val="bullet"/>
      <w:suff w:val="tab"/>
      <w:lvlText w:val="•"/>
      <w:rPr>
        <w:color w:val="3370ff"/>
      </w:rPr>
    </w:lvl>
  </w:abstractNum>
  <w:abstractNum w:abstractNumId="3135834">
    <w:lvl>
      <w:numFmt w:val="bullet"/>
      <w:suff w:val="tab"/>
      <w:lvlText w:val="•"/>
      <w:rPr>
        <w:color w:val="3370ff"/>
      </w:rPr>
    </w:lvl>
  </w:abstractNum>
  <w:abstractNum w:abstractNumId="3135835">
    <w:lvl>
      <w:numFmt w:val="bullet"/>
      <w:suff w:val="tab"/>
      <w:lvlText w:val="•"/>
      <w:rPr>
        <w:color w:val="3370ff"/>
      </w:rPr>
    </w:lvl>
  </w:abstractNum>
  <w:abstractNum w:abstractNumId="3135836">
    <w:lvl>
      <w:numFmt w:val="bullet"/>
      <w:suff w:val="tab"/>
      <w:lvlText w:val="•"/>
      <w:rPr>
        <w:color w:val="3370ff"/>
      </w:rPr>
    </w:lvl>
  </w:abstractNum>
  <w:abstractNum w:abstractNumId="3135837">
    <w:lvl>
      <w:numFmt w:val="bullet"/>
      <w:suff w:val="tab"/>
      <w:lvlText w:val="•"/>
      <w:rPr>
        <w:color w:val="3370ff"/>
      </w:rPr>
    </w:lvl>
  </w:abstractNum>
  <w:abstractNum w:abstractNumId="3135838">
    <w:lvl>
      <w:start w:val="1"/>
      <w:numFmt w:val="decimal"/>
      <w:suff w:val="tab"/>
      <w:lvlText w:val="%1."/>
      <w:rPr>
        <w:color w:val="3370ff"/>
      </w:rPr>
    </w:lvl>
  </w:abstractNum>
  <w:abstractNum w:abstractNumId="3135839">
    <w:lvl>
      <w:numFmt w:val="bullet"/>
      <w:suff w:val="tab"/>
      <w:lvlText w:val="￮"/>
      <w:rPr>
        <w:color w:val="3370ff"/>
      </w:rPr>
    </w:lvl>
  </w:abstractNum>
  <w:abstractNum w:abstractNumId="3135840">
    <w:lvl>
      <w:start w:val="2"/>
      <w:numFmt w:val="decimal"/>
      <w:suff w:val="tab"/>
      <w:lvlText w:val="%1."/>
      <w:rPr>
        <w:color w:val="3370ff"/>
      </w:rPr>
    </w:lvl>
  </w:abstractNum>
  <w:abstractNum w:abstractNumId="3135841">
    <w:lvl>
      <w:numFmt w:val="bullet"/>
      <w:suff w:val="tab"/>
      <w:lvlText w:val="￮"/>
      <w:rPr>
        <w:color w:val="3370ff"/>
      </w:rPr>
    </w:lvl>
  </w:abstractNum>
  <w:abstractNum w:abstractNumId="3135842">
    <w:lvl>
      <w:start w:val="3"/>
      <w:numFmt w:val="decimal"/>
      <w:suff w:val="tab"/>
      <w:lvlText w:val="%1."/>
      <w:rPr>
        <w:color w:val="3370ff"/>
      </w:rPr>
    </w:lvl>
  </w:abstractNum>
  <w:abstractNum w:abstractNumId="3135843">
    <w:lvl>
      <w:numFmt w:val="bullet"/>
      <w:suff w:val="tab"/>
      <w:lvlText w:val="￮"/>
      <w:rPr>
        <w:color w:val="3370ff"/>
      </w:rPr>
    </w:lvl>
  </w:abstractNum>
  <w:abstractNum w:abstractNumId="3135844">
    <w:lvl>
      <w:start w:val="1"/>
      <w:numFmt w:val="decimal"/>
      <w:suff w:val="tab"/>
      <w:lvlText w:val="%1."/>
      <w:rPr>
        <w:color w:val="3370ff"/>
      </w:rPr>
    </w:lvl>
  </w:abstractNum>
  <w:abstractNum w:abstractNumId="3135845">
    <w:lvl>
      <w:numFmt w:val="bullet"/>
      <w:suff w:val="tab"/>
      <w:lvlText w:val="￮"/>
      <w:rPr>
        <w:color w:val="3370ff"/>
      </w:rPr>
    </w:lvl>
  </w:abstractNum>
  <w:abstractNum w:abstractNumId="3135846">
    <w:lvl>
      <w:start w:val="2"/>
      <w:numFmt w:val="decimal"/>
      <w:suff w:val="tab"/>
      <w:lvlText w:val="%1."/>
      <w:rPr>
        <w:color w:val="3370ff"/>
      </w:rPr>
    </w:lvl>
  </w:abstractNum>
  <w:abstractNum w:abstractNumId="3135847">
    <w:lvl>
      <w:numFmt w:val="bullet"/>
      <w:suff w:val="tab"/>
      <w:lvlText w:val="￮"/>
      <w:rPr>
        <w:color w:val="3370ff"/>
      </w:rPr>
    </w:lvl>
  </w:abstractNum>
  <w:abstractNum w:abstractNumId="3135848">
    <w:lvl>
      <w:start w:val="1"/>
      <w:numFmt w:val="decimal"/>
      <w:suff w:val="tab"/>
      <w:lvlText w:val="%1."/>
      <w:rPr>
        <w:color w:val="3370ff"/>
      </w:rPr>
    </w:lvl>
  </w:abstractNum>
  <w:abstractNum w:abstractNumId="3135849">
    <w:lvl>
      <w:numFmt w:val="bullet"/>
      <w:suff w:val="tab"/>
      <w:lvlText w:val="￮"/>
      <w:rPr>
        <w:color w:val="3370ff"/>
      </w:rPr>
    </w:lvl>
  </w:abstractNum>
  <w:abstractNum w:abstractNumId="3135850">
    <w:lvl>
      <w:start w:val="1"/>
      <w:numFmt w:val="decimal"/>
      <w:suff w:val="tab"/>
      <w:lvlText w:val="%1."/>
      <w:rPr>
        <w:color w:val="3370ff"/>
      </w:rPr>
    </w:lvl>
  </w:abstractNum>
  <w:abstractNum w:abstractNumId="313585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135823"/>
  </w:num>
  <w:num w:numId="2">
    <w:abstractNumId w:val="3135824"/>
  </w:num>
  <w:num w:numId="3">
    <w:abstractNumId w:val="3135825"/>
  </w:num>
  <w:num w:numId="4">
    <w:abstractNumId w:val="3135826"/>
  </w:num>
  <w:num w:numId="5">
    <w:abstractNumId w:val="3135827"/>
  </w:num>
  <w:num w:numId="6">
    <w:abstractNumId w:val="3135828"/>
  </w:num>
  <w:num w:numId="7">
    <w:abstractNumId w:val="3135829"/>
  </w:num>
  <w:num w:numId="8">
    <w:abstractNumId w:val="3135830"/>
  </w:num>
  <w:num w:numId="9">
    <w:abstractNumId w:val="3135831"/>
  </w:num>
  <w:num w:numId="10">
    <w:abstractNumId w:val="3135832"/>
  </w:num>
  <w:num w:numId="11">
    <w:abstractNumId w:val="3135833"/>
  </w:num>
  <w:num w:numId="12">
    <w:abstractNumId w:val="3135834"/>
  </w:num>
  <w:num w:numId="13">
    <w:abstractNumId w:val="3135835"/>
  </w:num>
  <w:num w:numId="14">
    <w:abstractNumId w:val="3135836"/>
  </w:num>
  <w:num w:numId="15">
    <w:abstractNumId w:val="3135837"/>
  </w:num>
  <w:num w:numId="16">
    <w:abstractNumId w:val="3135838"/>
  </w:num>
  <w:num w:numId="17">
    <w:abstractNumId w:val="3135839"/>
  </w:num>
  <w:num w:numId="18">
    <w:abstractNumId w:val="3135840"/>
  </w:num>
  <w:num w:numId="19">
    <w:abstractNumId w:val="3135841"/>
  </w:num>
  <w:num w:numId="20">
    <w:abstractNumId w:val="3135842"/>
  </w:num>
  <w:num w:numId="21">
    <w:abstractNumId w:val="3135843"/>
  </w:num>
  <w:num w:numId="22">
    <w:abstractNumId w:val="3135844"/>
  </w:num>
  <w:num w:numId="23">
    <w:abstractNumId w:val="3135845"/>
  </w:num>
  <w:num w:numId="24">
    <w:abstractNumId w:val="3135846"/>
  </w:num>
  <w:num w:numId="25">
    <w:abstractNumId w:val="3135847"/>
  </w:num>
  <w:num w:numId="26">
    <w:abstractNumId w:val="3135848"/>
  </w:num>
  <w:num w:numId="27">
    <w:abstractNumId w:val="3135849"/>
  </w:num>
  <w:num w:numId="28">
    <w:abstractNumId w:val="3135850"/>
  </w:num>
  <w:num w:numId="29">
    <w:abstractNumId w:val="31358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yperlink" Target="https://bytedance.larkoffice.com/docx/BOJcdjpqzoqierxGnRzcxvIhnLe" TargetMode="External"/><Relationship Id="rId6" Type="http://schemas.openxmlformats.org/officeDocument/2006/relationships/hyperlink" Target="https://bytedance.larkoffice.com/docx/RHRndWgWgo2KhtxHxmxc5W1Znye" TargetMode="External"/><Relationship Id="rId7" Type="http://schemas.openxmlformats.org/officeDocument/2006/relationships/hyperlink" Target="https://bytedance.larkoffice.com/docx/O6Czd117Eo5P1cxxIg9c3kW8nUe" TargetMode="External"/><Relationship Id="rId8" Type="http://schemas.openxmlformats.org/officeDocument/2006/relationships/hyperlink" Target="https://bytedance.larkoffice.com/docx/LBVhdku8yorr0Wx81sdcItbZnBh" TargetMode="Externa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2026-06-24T06:50:26Z</dcterms:created>
  <dc:creator>Apache POI</dc:creator>
  <dc:description>﻿﻿﻿﻿​﻿⁢﻿﻿﻿﻿﻿﻿﻿﻿﻿﻿﻿﻿﻿‌⁠⁢﻿⁢‌‌​</dc:description>
</cp:coreProperties>
</file>