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Harmondeg 12-D v1.0 — Quick Start Sample Comparison</w:t>
      </w:r>
    </w:p>
    <w:p>
      <w:r>
        <w:t>This sample lets readers compare the exact source supplied to the system with the autonomous diagnostic output.</w:t>
      </w:r>
    </w:p>
    <w:p>
      <w:pPr>
        <w:pStyle w:val="Heading1"/>
      </w:pPr>
      <w:r>
        <w:t>Input</w:t>
      </w:r>
    </w:p>
    <w:p>
      <w:r>
        <w:t>Quick Start Demonstration Source</w:t>
        <w:br/>
        <w:br/>
        <w:t>This short demonstration makes one limited claim. Only within the supplied example, a conclusion is treated as supported while the stated condition remains present. I examine the claim from the same first-person position throughout this example. The claim is limited to the present analytical act and does not establish persistence across all times. Assume that the stated condition is part of the example. The text remains a theoretical demonstration only.</w:t>
        <w:br/>
      </w:r>
    </w:p>
    <w:p>
      <w:pPr>
        <w:pStyle w:val="Heading1"/>
      </w:pPr>
      <w:r>
        <w:t>How to Compare</w:t>
      </w:r>
    </w:p>
    <w:p>
      <w:pPr>
        <w:pStyle w:val="ListBullet"/>
      </w:pPr>
      <w:r>
        <w:t>Read source.txt first.</w:t>
      </w:r>
    </w:p>
    <w:p>
      <w:pPr>
        <w:pStyle w:val="ListBullet"/>
      </w:pPr>
      <w:r>
        <w:t>Open diagnosis.json to inspect the machine-readable D1-D12 state.</w:t>
      </w:r>
    </w:p>
    <w:p>
      <w:pPr>
        <w:pStyle w:val="ListBullet"/>
      </w:pPr>
      <w:r>
        <w:t>Open report.docx to inspect the final human-readable report.</w:t>
      </w:r>
    </w:p>
    <w:p>
      <w:pPr>
        <w:pStyle w:val="ListBullet"/>
      </w:pPr>
      <w:r>
        <w:t>Compare the explicit scope limitation, temporal limitation, and disclosed assumption with the corresponding diagnostic findings.</w:t>
      </w:r>
    </w:p>
    <w:p>
      <w:pPr>
        <w:pStyle w:val="ListBullet"/>
      </w:pPr>
      <w:r>
        <w:t>Because the sample remains theoretical and contains no practical implementation role, D11 and D12 remain N/A.</w:t>
      </w:r>
    </w:p>
    <w:p>
      <w:pPr>
        <w:pStyle w:val="Heading1"/>
      </w:pPr>
      <w:r>
        <w:t>Important</w:t>
      </w:r>
    </w:p>
    <w:p>
      <w:r>
        <w:t>The sample demonstrates execution behavior. It is not an answer key for other theories; each future diagnosis must be determined from its own target, scope, and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