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標楷體" w:hAnsi="標楷體" w:eastAsia="標楷體" w:cs="Aharoni"/>
          <w:sz w:val="72"/>
          <w:szCs w:val="72"/>
        </w:rPr>
      </w:pPr>
      <w:bookmarkStart w:id="0" w:name="_GoBack"/>
      <w:bookmarkEnd w:id="0"/>
      <w:r>
        <w:rPr>
          <w:rFonts w:hint="eastAsia"/>
          <w:sz w:val="72"/>
          <w:szCs w:val="72"/>
        </w:rPr>
        <w:t xml:space="preserve">   </w:t>
      </w:r>
      <w:r>
        <w:rPr>
          <w:rFonts w:hint="cs" w:ascii="標楷體" w:hAnsi="標楷體" w:eastAsia="標楷體" w:cs="Aharoni"/>
          <w:sz w:val="72"/>
          <w:szCs w:val="72"/>
        </w:rPr>
        <w:t>個體經濟學期末報告</w:t>
      </w:r>
    </w:p>
    <w:p>
      <w:pPr>
        <w:jc w:val="center"/>
        <w:rPr>
          <w:sz w:val="40"/>
          <w:szCs w:val="40"/>
        </w:rPr>
      </w:pPr>
      <w:r>
        <w:rPr>
          <w:rFonts w:hint="eastAsia" w:ascii="標楷體" w:hAnsi="標楷體" w:eastAsia="標楷體"/>
          <w:sz w:val="52"/>
          <w:szCs w:val="52"/>
        </w:rPr>
        <w:t>台灣水果農業經濟發展</w:t>
      </w:r>
    </w:p>
    <w:p>
      <w:pPr>
        <w:spacing w:line="240" w:lineRule="exact"/>
        <w:jc w:val="center"/>
        <w:rPr>
          <w:sz w:val="40"/>
          <w:szCs w:val="40"/>
        </w:rPr>
      </w:pPr>
    </w:p>
    <w:p>
      <w:pPr>
        <w:spacing w:line="240" w:lineRule="exact"/>
        <w:jc w:val="center"/>
        <w:rPr>
          <w:sz w:val="40"/>
          <w:szCs w:val="40"/>
        </w:rPr>
      </w:pPr>
      <w:r>
        <w:rPr>
          <w:rFonts w:ascii="Calibri" w:hAnsi="Calibri"/>
          <w:kern w:val="2"/>
          <w:sz w:val="52"/>
          <w:szCs w:val="52"/>
          <w:lang w:val="en-US" w:eastAsia="zh-TW" w:bidi="ar-SA"/>
        </w:rPr>
        <w:pict>
          <v:shape id="圖片 1" o:spid="_x0000_s1026" type="#_x0000_t75" style="position:absolute;left:0;margin-top:16.2pt;height:198pt;width:313.9pt;mso-position-horizontal:center;mso-position-horizontal-relative:margin;mso-wrap-distance-bottom:0pt;mso-wrap-distance-top:0pt;rotation:0f;z-index:-251658240;" o:ole="f" fillcolor="#FFFFFF" filled="f" o:preferrelative="t" stroked="f" coordorigin="0,0" coordsize="21600,21600">
            <v:fill on="f" color2="#FFFFFF" focus="0%"/>
            <v:imagedata gain="65536f" blacklevel="0f" gamma="0" o:title="" r:id="rId5"/>
            <o:lock v:ext="edit" position="f" selection="f" grouping="f" rotation="f" cropping="f" text="f" aspectratio="t"/>
            <w10:wrap type="topAndBottom"/>
          </v:shape>
        </w:pict>
      </w:r>
    </w:p>
    <w:p>
      <w:pPr>
        <w:spacing w:line="240" w:lineRule="exact"/>
        <w:jc w:val="center"/>
        <w:rPr>
          <w:sz w:val="40"/>
          <w:szCs w:val="40"/>
        </w:rPr>
      </w:pPr>
    </w:p>
    <w:p>
      <w:pPr>
        <w:spacing w:line="240" w:lineRule="exact"/>
        <w:jc w:val="center"/>
        <w:rPr>
          <w:sz w:val="40"/>
          <w:szCs w:val="40"/>
        </w:rPr>
      </w:pPr>
    </w:p>
    <w:p>
      <w:pPr>
        <w:spacing w:line="240" w:lineRule="exact"/>
        <w:jc w:val="center"/>
        <w:rPr>
          <w:sz w:val="40"/>
          <w:szCs w:val="40"/>
        </w:rPr>
      </w:pPr>
    </w:p>
    <w:p>
      <w:pPr>
        <w:spacing w:line="280" w:lineRule="exact"/>
        <w:jc w:val="center"/>
        <w:rPr>
          <w:rFonts w:ascii="標楷體" w:hAnsi="標楷體" w:eastAsia="標楷體" w:cs="Calibri"/>
          <w:sz w:val="32"/>
          <w:szCs w:val="32"/>
        </w:rPr>
      </w:pPr>
      <w:r>
        <w:rPr>
          <w:rFonts w:ascii="標楷體" w:hAnsi="標楷體" w:eastAsia="標楷體" w:cs="Calibri"/>
          <w:sz w:val="32"/>
          <w:szCs w:val="32"/>
        </w:rPr>
        <w:t>指導老師:田弘華老師</w:t>
      </w:r>
    </w:p>
    <w:p>
      <w:pPr>
        <w:spacing w:line="280" w:lineRule="exact"/>
        <w:rPr>
          <w:rFonts w:ascii="標楷體" w:hAnsi="標楷體" w:eastAsia="標楷體" w:cs="Calibri"/>
          <w:sz w:val="32"/>
          <w:szCs w:val="32"/>
        </w:rPr>
      </w:pPr>
    </w:p>
    <w:p>
      <w:pPr>
        <w:spacing w:line="280" w:lineRule="exact"/>
        <w:jc w:val="center"/>
        <w:rPr>
          <w:rFonts w:ascii="標楷體" w:hAnsi="標楷體" w:eastAsia="標楷體" w:cs="Calibri"/>
          <w:sz w:val="32"/>
          <w:szCs w:val="32"/>
        </w:rPr>
      </w:pPr>
      <w:r>
        <w:rPr>
          <w:rFonts w:ascii="標楷體" w:hAnsi="標楷體" w:eastAsia="標楷體" w:cs="Calibri"/>
          <w:sz w:val="32"/>
          <w:szCs w:val="32"/>
        </w:rPr>
        <w:t xml:space="preserve">組員: </w:t>
      </w:r>
    </w:p>
    <w:p>
      <w:pPr>
        <w:spacing w:beforeLines="50" w:line="240" w:lineRule="exact"/>
        <w:jc w:val="center"/>
        <w:rPr>
          <w:rFonts w:ascii="標楷體" w:hAnsi="標楷體" w:eastAsia="標楷體" w:cs="Calibri"/>
          <w:sz w:val="32"/>
          <w:szCs w:val="32"/>
        </w:rPr>
      </w:pPr>
      <w:r>
        <w:rPr>
          <w:rFonts w:ascii="標楷體" w:hAnsi="標楷體" w:eastAsia="標楷體" w:cs="Calibri"/>
          <w:sz w:val="32"/>
          <w:szCs w:val="32"/>
        </w:rPr>
        <w:t>A106260103 鄭又馨</w:t>
      </w:r>
    </w:p>
    <w:p>
      <w:pPr>
        <w:spacing w:beforeLines="50" w:line="240" w:lineRule="exact"/>
        <w:jc w:val="center"/>
        <w:rPr>
          <w:rFonts w:ascii="標楷體" w:hAnsi="標楷體" w:eastAsia="標楷體" w:cs="Calibri"/>
          <w:sz w:val="32"/>
          <w:szCs w:val="32"/>
        </w:rPr>
      </w:pPr>
      <w:r>
        <w:rPr>
          <w:rFonts w:ascii="標楷體" w:hAnsi="標楷體" w:eastAsia="標楷體" w:cs="Calibri"/>
          <w:sz w:val="32"/>
          <w:szCs w:val="32"/>
        </w:rPr>
        <w:t>A107260005 胡宇涵</w:t>
      </w:r>
    </w:p>
    <w:p>
      <w:pPr>
        <w:spacing w:beforeLines="50" w:line="240" w:lineRule="exact"/>
        <w:jc w:val="center"/>
        <w:rPr>
          <w:rFonts w:ascii="標楷體" w:hAnsi="標楷體" w:eastAsia="標楷體" w:cs="Calibri"/>
          <w:sz w:val="32"/>
          <w:szCs w:val="32"/>
        </w:rPr>
      </w:pPr>
      <w:r>
        <w:rPr>
          <w:rFonts w:ascii="標楷體" w:hAnsi="標楷體" w:eastAsia="標楷體" w:cs="Calibri"/>
          <w:sz w:val="32"/>
          <w:szCs w:val="32"/>
        </w:rPr>
        <w:t>A107260035 李旻翰</w:t>
      </w:r>
    </w:p>
    <w:p>
      <w:pPr>
        <w:spacing w:beforeLines="50" w:line="240" w:lineRule="exact"/>
        <w:jc w:val="center"/>
        <w:rPr>
          <w:rFonts w:ascii="標楷體" w:hAnsi="標楷體" w:eastAsia="標楷體" w:cs="Calibri"/>
          <w:sz w:val="32"/>
          <w:szCs w:val="32"/>
        </w:rPr>
      </w:pPr>
      <w:r>
        <w:rPr>
          <w:rFonts w:ascii="標楷體" w:hAnsi="標楷體" w:eastAsia="標楷體" w:cs="Calibri"/>
          <w:sz w:val="32"/>
          <w:szCs w:val="32"/>
        </w:rPr>
        <w:t>A107260085 陳冠瑋</w:t>
      </w:r>
    </w:p>
    <w:p>
      <w:pPr>
        <w:spacing w:beforeLines="50" w:line="240" w:lineRule="exact"/>
        <w:jc w:val="center"/>
        <w:rPr>
          <w:rFonts w:ascii="標楷體" w:hAnsi="標楷體" w:eastAsia="標楷體" w:cs="Calibri"/>
          <w:sz w:val="32"/>
          <w:szCs w:val="32"/>
        </w:rPr>
      </w:pPr>
      <w:r>
        <w:rPr>
          <w:rFonts w:ascii="標楷體" w:hAnsi="標楷體" w:eastAsia="標楷體" w:cs="Calibri"/>
          <w:sz w:val="32"/>
          <w:szCs w:val="32"/>
        </w:rPr>
        <w:t>A107260097 李昀潔</w:t>
      </w:r>
    </w:p>
    <w:p>
      <w:pPr>
        <w:spacing w:beforeLines="50" w:line="240" w:lineRule="exact"/>
        <w:jc w:val="center"/>
        <w:rPr>
          <w:rFonts w:ascii="標楷體" w:hAnsi="標楷體" w:eastAsia="標楷體" w:cs="Calibri"/>
          <w:sz w:val="32"/>
          <w:szCs w:val="32"/>
        </w:rPr>
      </w:pPr>
    </w:p>
    <w:p>
      <w:pPr>
        <w:spacing w:beforeLines="50" w:line="240" w:lineRule="exact"/>
        <w:jc w:val="center"/>
        <w:rPr>
          <w:rFonts w:ascii="標楷體" w:hAnsi="標楷體" w:eastAsia="標楷體" w:cs="Calibri"/>
          <w:sz w:val="32"/>
          <w:szCs w:val="32"/>
        </w:rPr>
      </w:pPr>
    </w:p>
    <w:p>
      <w:pPr>
        <w:spacing w:beforeLines="50" w:line="240" w:lineRule="exact"/>
        <w:jc w:val="center"/>
        <w:rPr>
          <w:rFonts w:ascii="標楷體" w:hAnsi="標楷體" w:eastAsia="標楷體" w:cs="Calibri"/>
          <w:sz w:val="32"/>
          <w:szCs w:val="32"/>
        </w:rPr>
      </w:pPr>
    </w:p>
    <w:p>
      <w:pPr>
        <w:spacing w:beforeLines="50" w:line="240" w:lineRule="exact"/>
        <w:jc w:val="center"/>
        <w:rPr>
          <w:rFonts w:ascii="標楷體" w:hAnsi="標楷體" w:eastAsia="標楷體" w:cs="Calibri"/>
          <w:sz w:val="32"/>
          <w:szCs w:val="32"/>
        </w:rPr>
      </w:pPr>
    </w:p>
    <w:p>
      <w:pPr>
        <w:spacing w:beforeLines="50" w:line="240" w:lineRule="exact"/>
        <w:jc w:val="center"/>
        <w:rPr>
          <w:rFonts w:ascii="標楷體" w:hAnsi="標楷體" w:eastAsia="標楷體" w:cs="Calibri"/>
          <w:sz w:val="32"/>
          <w:szCs w:val="32"/>
        </w:rPr>
      </w:pPr>
    </w:p>
    <w:p>
      <w:pPr>
        <w:widowControl/>
        <w:rPr>
          <w:rFonts w:ascii="標楷體" w:hAnsi="標楷體" w:eastAsia="標楷體" w:cs="Calibri"/>
          <w:sz w:val="32"/>
          <w:szCs w:val="32"/>
        </w:rPr>
      </w:pPr>
      <w:r>
        <w:rPr>
          <w:rFonts w:ascii="標楷體" w:hAnsi="標楷體" w:eastAsia="標楷體" w:cs="Calibri"/>
          <w:sz w:val="32"/>
          <w:szCs w:val="32"/>
        </w:rPr>
        <w:br w:type="page"/>
      </w:r>
    </w:p>
    <w:p>
      <w:pPr>
        <w:widowControl/>
        <w:jc w:val="center"/>
        <w:rPr>
          <w:rFonts w:ascii="標楷體" w:hAnsi="標楷體" w:eastAsia="標楷體" w:cs="Calibri"/>
          <w:sz w:val="52"/>
          <w:szCs w:val="52"/>
        </w:rPr>
      </w:pPr>
      <w:r>
        <w:rPr>
          <w:rFonts w:hint="eastAsia" w:ascii="標楷體" w:hAnsi="標楷體" w:eastAsia="標楷體" w:cs="Calibri"/>
          <w:sz w:val="52"/>
          <w:szCs w:val="52"/>
        </w:rPr>
        <w:t>目錄</w:t>
      </w:r>
    </w:p>
    <w:p>
      <w:pPr>
        <w:widowControl/>
        <w:rPr>
          <w:rFonts w:ascii="標楷體" w:hAnsi="標楷體" w:eastAsia="標楷體" w:cs="Calibri"/>
          <w:sz w:val="32"/>
          <w:szCs w:val="32"/>
        </w:rPr>
      </w:pPr>
      <w:r>
        <w:rPr>
          <w:rFonts w:hint="eastAsia" w:ascii="標楷體" w:hAnsi="標楷體" w:eastAsia="標楷體" w:cs="Calibri"/>
          <w:sz w:val="32"/>
          <w:szCs w:val="32"/>
        </w:rPr>
        <w:t>摘要</w:t>
      </w:r>
      <w:r>
        <w:rPr>
          <w:rFonts w:ascii="標楷體" w:hAnsi="標楷體" w:eastAsia="標楷體" w:cs="Calibri"/>
          <w:sz w:val="32"/>
          <w:szCs w:val="32"/>
        </w:rPr>
        <w:t>-----------------------------------------</w:t>
      </w:r>
      <w:r>
        <w:rPr>
          <w:rFonts w:hint="eastAsia" w:ascii="標楷體" w:hAnsi="標楷體" w:eastAsia="標楷體" w:cs="Calibri"/>
          <w:sz w:val="32"/>
          <w:szCs w:val="32"/>
        </w:rPr>
        <w:t>P.2</w:t>
      </w:r>
    </w:p>
    <w:p>
      <w:pPr>
        <w:widowControl/>
        <w:rPr>
          <w:rFonts w:ascii="標楷體" w:hAnsi="標楷體" w:eastAsia="標楷體" w:cs="Calibri"/>
          <w:sz w:val="32"/>
          <w:szCs w:val="32"/>
        </w:rPr>
      </w:pPr>
      <w:r>
        <w:rPr>
          <w:rFonts w:hint="eastAsia" w:ascii="標楷體" w:hAnsi="標楷體" w:eastAsia="標楷體" w:cs="Calibri"/>
          <w:sz w:val="32"/>
          <w:szCs w:val="32"/>
        </w:rPr>
        <w:t>前言-</w:t>
      </w:r>
      <w:r>
        <w:rPr>
          <w:rFonts w:ascii="標楷體" w:hAnsi="標楷體" w:eastAsia="標楷體" w:cs="Calibri"/>
          <w:sz w:val="32"/>
          <w:szCs w:val="32"/>
        </w:rPr>
        <w:t>----------------------------------------</w:t>
      </w:r>
      <w:r>
        <w:rPr>
          <w:rFonts w:hint="eastAsia" w:ascii="標楷體" w:hAnsi="標楷體" w:eastAsia="標楷體" w:cs="Calibri"/>
          <w:sz w:val="32"/>
          <w:szCs w:val="32"/>
        </w:rPr>
        <w:t>P.4</w:t>
      </w:r>
    </w:p>
    <w:p>
      <w:pPr>
        <w:widowControl/>
        <w:rPr>
          <w:rFonts w:ascii="標楷體" w:hAnsi="標楷體" w:eastAsia="標楷體" w:cs="Calibri"/>
          <w:sz w:val="32"/>
          <w:szCs w:val="32"/>
        </w:rPr>
      </w:pPr>
      <w:r>
        <w:rPr>
          <w:rFonts w:hint="eastAsia" w:ascii="標楷體" w:hAnsi="標楷體" w:eastAsia="標楷體" w:cs="Calibri"/>
          <w:sz w:val="32"/>
          <w:szCs w:val="32"/>
        </w:rPr>
        <w:t>緒論-</w:t>
      </w:r>
      <w:r>
        <w:rPr>
          <w:rFonts w:ascii="標楷體" w:hAnsi="標楷體" w:eastAsia="標楷體" w:cs="Calibri"/>
          <w:sz w:val="32"/>
          <w:szCs w:val="32"/>
        </w:rPr>
        <w:t>----------------------------------------</w:t>
      </w:r>
      <w:r>
        <w:rPr>
          <w:rFonts w:hint="eastAsia" w:ascii="標楷體" w:hAnsi="標楷體" w:eastAsia="標楷體" w:cs="Calibri"/>
          <w:sz w:val="32"/>
          <w:szCs w:val="32"/>
        </w:rPr>
        <w:t>P.6</w:t>
      </w:r>
    </w:p>
    <w:p>
      <w:pPr>
        <w:widowControl/>
        <w:ind w:firstLine="320" w:firstLineChars="100"/>
        <w:rPr>
          <w:rFonts w:ascii="標楷體" w:hAnsi="標楷體" w:eastAsia="標楷體" w:cs="Calibri"/>
          <w:sz w:val="32"/>
          <w:szCs w:val="32"/>
        </w:rPr>
      </w:pPr>
      <w:r>
        <w:rPr>
          <w:rFonts w:hint="eastAsia" w:ascii="標楷體" w:hAnsi="標楷體" w:eastAsia="標楷體" w:cs="Calibri"/>
          <w:sz w:val="32"/>
          <w:szCs w:val="32"/>
        </w:rPr>
        <w:t>1.台灣農產業進出口現況-</w:t>
      </w:r>
      <w:r>
        <w:rPr>
          <w:rFonts w:ascii="標楷體" w:hAnsi="標楷體" w:eastAsia="標楷體" w:cs="Calibri"/>
          <w:sz w:val="32"/>
          <w:szCs w:val="32"/>
        </w:rPr>
        <w:t>------------------</w:t>
      </w:r>
      <w:r>
        <w:rPr>
          <w:rFonts w:hint="eastAsia" w:ascii="標楷體" w:hAnsi="標楷體" w:eastAsia="標楷體" w:cs="Calibri"/>
          <w:sz w:val="32"/>
          <w:szCs w:val="32"/>
        </w:rPr>
        <w:t>--P.6</w:t>
      </w:r>
    </w:p>
    <w:p>
      <w:pPr>
        <w:widowControl/>
        <w:ind w:firstLine="320" w:firstLineChars="100"/>
        <w:rPr>
          <w:rFonts w:ascii="標楷體" w:hAnsi="標楷體" w:eastAsia="標楷體" w:cs="Calibri"/>
          <w:sz w:val="32"/>
          <w:szCs w:val="32"/>
        </w:rPr>
      </w:pPr>
      <w:r>
        <w:rPr>
          <w:rFonts w:hint="eastAsia" w:ascii="標楷體" w:hAnsi="標楷體" w:eastAsia="標楷體" w:cs="Calibri"/>
          <w:sz w:val="32"/>
          <w:szCs w:val="32"/>
        </w:rPr>
        <w:t>2.鳳梨事件-</w:t>
      </w:r>
      <w:r>
        <w:rPr>
          <w:rFonts w:ascii="標楷體" w:hAnsi="標楷體" w:eastAsia="標楷體" w:cs="Calibri"/>
          <w:sz w:val="32"/>
          <w:szCs w:val="32"/>
        </w:rPr>
        <w:t>--------------------------------</w:t>
      </w:r>
      <w:r>
        <w:rPr>
          <w:rFonts w:hint="eastAsia" w:ascii="標楷體" w:hAnsi="標楷體" w:eastAsia="標楷體" w:cs="Calibri"/>
          <w:sz w:val="32"/>
          <w:szCs w:val="32"/>
        </w:rPr>
        <w:t>P.8</w:t>
      </w:r>
    </w:p>
    <w:p>
      <w:pPr>
        <w:widowControl/>
        <w:ind w:firstLine="320" w:firstLineChars="100"/>
        <w:rPr>
          <w:rFonts w:ascii="標楷體" w:hAnsi="標楷體" w:eastAsia="標楷體" w:cs="Calibri"/>
          <w:sz w:val="32"/>
          <w:szCs w:val="32"/>
        </w:rPr>
      </w:pPr>
      <w:r>
        <w:rPr>
          <w:rFonts w:hint="eastAsia" w:ascii="標楷體" w:hAnsi="標楷體" w:eastAsia="標楷體" w:cs="Calibri"/>
          <w:sz w:val="32"/>
          <w:szCs w:val="32"/>
        </w:rPr>
        <w:t>3.鳳梨之亂-經濟影響-</w:t>
      </w:r>
      <w:r>
        <w:rPr>
          <w:rFonts w:ascii="標楷體" w:hAnsi="標楷體" w:eastAsia="標楷體" w:cs="Calibri"/>
          <w:sz w:val="32"/>
          <w:szCs w:val="32"/>
        </w:rPr>
        <w:t>-------------------</w:t>
      </w:r>
      <w:r>
        <w:rPr>
          <w:rFonts w:hint="eastAsia" w:ascii="標楷體" w:hAnsi="標楷體" w:eastAsia="標楷體" w:cs="Calibri"/>
          <w:sz w:val="32"/>
          <w:szCs w:val="32"/>
        </w:rPr>
        <w:t>-</w:t>
      </w:r>
      <w:r>
        <w:rPr>
          <w:rFonts w:ascii="標楷體" w:hAnsi="標楷體" w:eastAsia="標楷體" w:cs="Calibri"/>
          <w:sz w:val="32"/>
          <w:szCs w:val="32"/>
        </w:rPr>
        <w:t>---</w:t>
      </w:r>
      <w:r>
        <w:rPr>
          <w:rFonts w:hint="eastAsia" w:ascii="標楷體" w:hAnsi="標楷體" w:eastAsia="標楷體" w:cs="Calibri"/>
          <w:sz w:val="32"/>
          <w:szCs w:val="32"/>
        </w:rPr>
        <w:t>P.8</w:t>
      </w:r>
    </w:p>
    <w:p>
      <w:pPr>
        <w:widowControl/>
        <w:ind w:firstLine="320" w:firstLineChars="100"/>
        <w:rPr>
          <w:rFonts w:ascii="標楷體" w:hAnsi="標楷體" w:eastAsia="標楷體" w:cs="Calibri"/>
          <w:sz w:val="32"/>
          <w:szCs w:val="32"/>
        </w:rPr>
      </w:pPr>
      <w:r>
        <w:rPr>
          <w:rFonts w:hint="eastAsia" w:ascii="標楷體" w:hAnsi="標楷體" w:eastAsia="標楷體" w:cs="Calibri"/>
          <w:sz w:val="32"/>
          <w:szCs w:val="32"/>
        </w:rPr>
        <w:t>4.鳳梨之亂-政治影響-</w:t>
      </w:r>
      <w:r>
        <w:rPr>
          <w:rFonts w:ascii="標楷體" w:hAnsi="標楷體" w:eastAsia="標楷體" w:cs="Calibri"/>
          <w:sz w:val="32"/>
          <w:szCs w:val="32"/>
        </w:rPr>
        <w:t>--------------------</w:t>
      </w:r>
      <w:r>
        <w:rPr>
          <w:rFonts w:hint="eastAsia" w:ascii="標楷體" w:hAnsi="標楷體" w:eastAsia="標楷體" w:cs="Calibri"/>
          <w:sz w:val="32"/>
          <w:szCs w:val="32"/>
        </w:rPr>
        <w:t>-</w:t>
      </w:r>
      <w:r>
        <w:rPr>
          <w:rFonts w:ascii="標楷體" w:hAnsi="標楷體" w:eastAsia="標楷體" w:cs="Calibri"/>
          <w:sz w:val="32"/>
          <w:szCs w:val="32"/>
        </w:rPr>
        <w:t>-</w:t>
      </w:r>
      <w:r>
        <w:rPr>
          <w:rFonts w:hint="eastAsia" w:ascii="標楷體" w:hAnsi="標楷體" w:eastAsia="標楷體" w:cs="Calibri"/>
          <w:sz w:val="32"/>
          <w:szCs w:val="32"/>
        </w:rPr>
        <w:tab/>
      </w:r>
      <w:r>
        <w:rPr>
          <w:rFonts w:hint="eastAsia" w:ascii="標楷體" w:hAnsi="標楷體" w:eastAsia="標楷體" w:cs="Calibri"/>
          <w:sz w:val="32"/>
          <w:szCs w:val="32"/>
        </w:rPr>
        <w:t>P.11</w:t>
      </w:r>
    </w:p>
    <w:p>
      <w:pPr>
        <w:widowControl/>
        <w:ind w:firstLine="480" w:firstLineChars="150"/>
        <w:rPr>
          <w:rFonts w:ascii="標楷體" w:hAnsi="標楷體" w:eastAsia="標楷體" w:cs="Calibri"/>
          <w:sz w:val="32"/>
          <w:szCs w:val="32"/>
        </w:rPr>
      </w:pPr>
      <w:r>
        <w:rPr>
          <w:rFonts w:hint="eastAsia" w:ascii="標楷體" w:hAnsi="標楷體" w:eastAsia="標楷體" w:cs="Calibri"/>
          <w:sz w:val="32"/>
          <w:szCs w:val="32"/>
        </w:rPr>
        <w:t>(1)台灣角度-</w:t>
      </w:r>
      <w:r>
        <w:rPr>
          <w:rFonts w:ascii="標楷體" w:hAnsi="標楷體" w:eastAsia="標楷體" w:cs="Calibri"/>
          <w:sz w:val="32"/>
          <w:szCs w:val="32"/>
        </w:rPr>
        <w:t>-----------------------------</w:t>
      </w:r>
      <w:r>
        <w:rPr>
          <w:rFonts w:hint="eastAsia" w:ascii="標楷體" w:hAnsi="標楷體" w:eastAsia="標楷體" w:cs="Calibri"/>
          <w:sz w:val="32"/>
          <w:szCs w:val="32"/>
        </w:rPr>
        <w:tab/>
      </w:r>
      <w:r>
        <w:rPr>
          <w:rFonts w:hint="eastAsia" w:ascii="標楷體" w:hAnsi="標楷體" w:eastAsia="標楷體" w:cs="Calibri"/>
          <w:sz w:val="32"/>
          <w:szCs w:val="32"/>
        </w:rPr>
        <w:t>P.11</w:t>
      </w:r>
    </w:p>
    <w:p>
      <w:pPr>
        <w:widowControl/>
        <w:ind w:firstLine="480" w:firstLineChars="150"/>
        <w:rPr>
          <w:rFonts w:ascii="標楷體" w:hAnsi="標楷體" w:eastAsia="標楷體" w:cs="Calibri"/>
          <w:sz w:val="32"/>
          <w:szCs w:val="32"/>
        </w:rPr>
      </w:pPr>
      <w:r>
        <w:rPr>
          <w:rFonts w:hint="eastAsia" w:ascii="標楷體" w:hAnsi="標楷體" w:eastAsia="標楷體" w:cs="Calibri"/>
          <w:sz w:val="32"/>
          <w:szCs w:val="32"/>
        </w:rPr>
        <w:t>(2)中國角度-</w:t>
      </w:r>
      <w:r>
        <w:rPr>
          <w:rFonts w:ascii="標楷體" w:hAnsi="標楷體" w:eastAsia="標楷體" w:cs="Calibri"/>
          <w:sz w:val="32"/>
          <w:szCs w:val="32"/>
        </w:rPr>
        <w:t>-----------------------------</w:t>
      </w:r>
      <w:r>
        <w:rPr>
          <w:rFonts w:hint="eastAsia" w:ascii="標楷體" w:hAnsi="標楷體" w:eastAsia="標楷體" w:cs="Calibri"/>
          <w:sz w:val="32"/>
          <w:szCs w:val="32"/>
        </w:rPr>
        <w:tab/>
      </w:r>
      <w:r>
        <w:rPr>
          <w:rFonts w:hint="eastAsia" w:ascii="標楷體" w:hAnsi="標楷體" w:eastAsia="標楷體" w:cs="Calibri"/>
          <w:sz w:val="32"/>
          <w:szCs w:val="32"/>
        </w:rPr>
        <w:t>P.12</w:t>
      </w:r>
    </w:p>
    <w:p>
      <w:pPr>
        <w:widowControl/>
        <w:rPr>
          <w:rFonts w:ascii="標楷體" w:hAnsi="標楷體" w:eastAsia="標楷體" w:cs="Calibri"/>
          <w:sz w:val="32"/>
          <w:szCs w:val="32"/>
        </w:rPr>
      </w:pPr>
      <w:r>
        <w:rPr>
          <w:rFonts w:hint="eastAsia" w:ascii="標楷體" w:hAnsi="標楷體" w:eastAsia="標楷體" w:cs="Calibri"/>
          <w:sz w:val="32"/>
          <w:szCs w:val="32"/>
        </w:rPr>
        <w:t>模型-</w:t>
      </w:r>
      <w:r>
        <w:rPr>
          <w:rFonts w:ascii="標楷體" w:hAnsi="標楷體" w:eastAsia="標楷體" w:cs="Calibri"/>
          <w:sz w:val="32"/>
          <w:szCs w:val="32"/>
        </w:rPr>
        <w:t>---------------------------------------</w:t>
      </w:r>
      <w:r>
        <w:rPr>
          <w:rFonts w:hint="eastAsia" w:ascii="標楷體" w:hAnsi="標楷體" w:eastAsia="標楷體" w:cs="Calibri"/>
          <w:sz w:val="32"/>
          <w:szCs w:val="32"/>
        </w:rPr>
        <w:tab/>
      </w:r>
      <w:r>
        <w:rPr>
          <w:rFonts w:hint="eastAsia" w:ascii="標楷體" w:hAnsi="標楷體" w:eastAsia="標楷體" w:cs="Calibri"/>
          <w:sz w:val="32"/>
          <w:szCs w:val="32"/>
        </w:rPr>
        <w:t>P.14</w:t>
      </w:r>
    </w:p>
    <w:p>
      <w:pPr>
        <w:widowControl/>
        <w:ind w:firstLine="320" w:firstLineChars="100"/>
        <w:rPr>
          <w:rFonts w:ascii="標楷體" w:hAnsi="標楷體" w:eastAsia="標楷體" w:cs="Calibri"/>
          <w:sz w:val="32"/>
          <w:szCs w:val="32"/>
        </w:rPr>
      </w:pPr>
      <w:r>
        <w:rPr>
          <w:rFonts w:hint="eastAsia" w:ascii="標楷體" w:hAnsi="標楷體" w:eastAsia="標楷體" w:cs="Calibri"/>
          <w:sz w:val="32"/>
          <w:szCs w:val="32"/>
        </w:rPr>
        <w:t>1.蛛網模型-</w:t>
      </w:r>
      <w:r>
        <w:rPr>
          <w:rFonts w:ascii="標楷體" w:hAnsi="標楷體" w:eastAsia="標楷體" w:cs="Calibri"/>
          <w:sz w:val="32"/>
          <w:szCs w:val="32"/>
        </w:rPr>
        <w:t>-------------------------------</w:t>
      </w:r>
      <w:r>
        <w:rPr>
          <w:rFonts w:hint="eastAsia" w:ascii="標楷體" w:hAnsi="標楷體" w:eastAsia="標楷體" w:cs="Calibri"/>
          <w:sz w:val="32"/>
          <w:szCs w:val="32"/>
        </w:rPr>
        <w:tab/>
      </w:r>
      <w:r>
        <w:rPr>
          <w:rFonts w:ascii="標楷體" w:hAnsi="標楷體" w:eastAsia="標楷體" w:cs="Calibri"/>
          <w:sz w:val="32"/>
          <w:szCs w:val="32"/>
        </w:rPr>
        <w:t>P</w:t>
      </w:r>
      <w:r>
        <w:rPr>
          <w:rFonts w:hint="eastAsia" w:ascii="標楷體" w:hAnsi="標楷體" w:eastAsia="標楷體" w:cs="Calibri"/>
          <w:sz w:val="32"/>
          <w:szCs w:val="32"/>
        </w:rPr>
        <w:t>.14</w:t>
      </w:r>
    </w:p>
    <w:p>
      <w:pPr>
        <w:widowControl/>
        <w:ind w:firstLine="320" w:firstLineChars="100"/>
        <w:rPr>
          <w:rFonts w:ascii="標楷體" w:hAnsi="標楷體" w:eastAsia="標楷體" w:cs="Calibri"/>
          <w:sz w:val="32"/>
          <w:szCs w:val="32"/>
        </w:rPr>
      </w:pPr>
      <w:r>
        <w:rPr>
          <w:rFonts w:hint="eastAsia" w:ascii="標楷體" w:hAnsi="標楷體" w:eastAsia="標楷體" w:cs="Calibri"/>
          <w:sz w:val="32"/>
          <w:szCs w:val="32"/>
        </w:rPr>
        <w:t>2.賽局理論-</w:t>
      </w:r>
      <w:r>
        <w:rPr>
          <w:rFonts w:ascii="標楷體" w:hAnsi="標楷體" w:eastAsia="標楷體" w:cs="Calibri"/>
          <w:sz w:val="32"/>
          <w:szCs w:val="32"/>
        </w:rPr>
        <w:t>-------------------------------</w:t>
      </w:r>
      <w:r>
        <w:rPr>
          <w:rFonts w:hint="eastAsia" w:ascii="標楷體" w:hAnsi="標楷體" w:eastAsia="標楷體" w:cs="Calibri"/>
          <w:sz w:val="32"/>
          <w:szCs w:val="32"/>
        </w:rPr>
        <w:t>-P.18</w:t>
      </w:r>
      <w:r>
        <w:rPr>
          <w:rFonts w:ascii="標楷體" w:hAnsi="標楷體" w:eastAsia="標楷體" w:cs="Calibri"/>
          <w:sz w:val="32"/>
          <w:szCs w:val="32"/>
        </w:rPr>
        <w:tab/>
      </w:r>
    </w:p>
    <w:p>
      <w:pPr>
        <w:widowControl/>
        <w:rPr>
          <w:rFonts w:ascii="標楷體" w:hAnsi="標楷體" w:eastAsia="標楷體" w:cs="Calibri"/>
          <w:sz w:val="32"/>
          <w:szCs w:val="32"/>
        </w:rPr>
      </w:pPr>
      <w:r>
        <w:rPr>
          <w:rFonts w:hint="eastAsia" w:ascii="標楷體" w:hAnsi="標楷體" w:eastAsia="標楷體" w:cs="Calibri"/>
          <w:sz w:val="32"/>
          <w:szCs w:val="32"/>
        </w:rPr>
        <w:t>總結-</w:t>
      </w:r>
      <w:r>
        <w:rPr>
          <w:rFonts w:ascii="標楷體" w:hAnsi="標楷體" w:eastAsia="標楷體" w:cs="Calibri"/>
          <w:sz w:val="32"/>
          <w:szCs w:val="32"/>
        </w:rPr>
        <w:t>---------------------------------------</w:t>
      </w:r>
      <w:r>
        <w:rPr>
          <w:rFonts w:hint="eastAsia" w:ascii="標楷體" w:hAnsi="標楷體" w:eastAsia="標楷體" w:cs="Calibri"/>
          <w:sz w:val="32"/>
          <w:szCs w:val="32"/>
        </w:rPr>
        <w:tab/>
      </w:r>
      <w:r>
        <w:rPr>
          <w:rFonts w:hint="eastAsia" w:ascii="標楷體" w:hAnsi="標楷體" w:eastAsia="標楷體" w:cs="Calibri"/>
          <w:sz w:val="32"/>
          <w:szCs w:val="32"/>
        </w:rPr>
        <w:t>P.20</w:t>
      </w:r>
    </w:p>
    <w:p>
      <w:pPr>
        <w:widowControl/>
        <w:rPr>
          <w:rFonts w:ascii="標楷體" w:hAnsi="標楷體" w:eastAsia="標楷體" w:cs="Calibri"/>
          <w:sz w:val="32"/>
          <w:szCs w:val="32"/>
        </w:rPr>
      </w:pPr>
      <w:r>
        <w:rPr>
          <w:rFonts w:hint="eastAsia" w:ascii="標楷體" w:hAnsi="標楷體" w:eastAsia="標楷體" w:cs="Calibri"/>
          <w:sz w:val="32"/>
          <w:szCs w:val="32"/>
        </w:rPr>
        <w:t>心得-</w:t>
      </w:r>
      <w:r>
        <w:rPr>
          <w:rFonts w:ascii="標楷體" w:hAnsi="標楷體" w:eastAsia="標楷體" w:cs="Calibri"/>
          <w:sz w:val="32"/>
          <w:szCs w:val="32"/>
        </w:rPr>
        <w:t>---------------------------------------</w:t>
      </w:r>
      <w:r>
        <w:rPr>
          <w:rFonts w:hint="eastAsia" w:ascii="標楷體" w:hAnsi="標楷體" w:eastAsia="標楷體" w:cs="Calibri"/>
          <w:sz w:val="32"/>
          <w:szCs w:val="32"/>
        </w:rPr>
        <w:t xml:space="preserve"> P.20</w:t>
      </w:r>
    </w:p>
    <w:p>
      <w:pPr>
        <w:widowControl/>
        <w:rPr>
          <w:rFonts w:ascii="標楷體" w:hAnsi="標楷體" w:eastAsia="標楷體" w:cs="Calibri"/>
          <w:sz w:val="32"/>
          <w:szCs w:val="32"/>
        </w:rPr>
      </w:pPr>
      <w:r>
        <w:rPr>
          <w:rFonts w:hint="eastAsia" w:ascii="標楷體" w:hAnsi="標楷體" w:eastAsia="標楷體" w:cs="Calibri"/>
          <w:sz w:val="32"/>
          <w:szCs w:val="32"/>
        </w:rPr>
        <w:t>參考資料</w:t>
      </w:r>
      <w:r>
        <w:rPr>
          <w:rFonts w:ascii="標楷體" w:hAnsi="標楷體" w:eastAsia="標楷體" w:cs="Calibri"/>
          <w:sz w:val="32"/>
          <w:szCs w:val="32"/>
        </w:rPr>
        <w:t xml:space="preserve">------------------------------------ </w:t>
      </w:r>
      <w:r>
        <w:rPr>
          <w:rFonts w:hint="eastAsia" w:ascii="標楷體" w:hAnsi="標楷體" w:eastAsia="標楷體" w:cs="Calibri"/>
          <w:sz w:val="32"/>
          <w:szCs w:val="32"/>
        </w:rPr>
        <w:t>P.22</w:t>
      </w:r>
    </w:p>
    <w:p>
      <w:pPr>
        <w:widowControl/>
        <w:jc w:val="right"/>
        <w:rPr>
          <w:rFonts w:ascii="標楷體" w:hAnsi="標楷體" w:eastAsia="標楷體" w:cs="Calibri"/>
          <w:sz w:val="32"/>
          <w:szCs w:val="32"/>
        </w:rPr>
      </w:pPr>
      <w:r>
        <w:rPr>
          <w:rFonts w:ascii="標楷體" w:hAnsi="標楷體" w:eastAsia="標楷體" w:cs="Calibri"/>
          <w:sz w:val="32"/>
          <w:szCs w:val="32"/>
        </w:rPr>
        <w:br w:type="page"/>
      </w:r>
    </w:p>
    <w:p>
      <w:pPr>
        <w:widowControl/>
        <w:jc w:val="center"/>
        <w:rPr>
          <w:rFonts w:ascii="標楷體" w:hAnsi="標楷體" w:eastAsia="標楷體" w:cs="Calibri"/>
          <w:sz w:val="52"/>
          <w:szCs w:val="52"/>
        </w:rPr>
      </w:pPr>
      <w:r>
        <w:rPr>
          <w:rFonts w:hint="eastAsia" w:ascii="標楷體" w:hAnsi="標楷體" w:eastAsia="標楷體" w:cs="Calibri"/>
          <w:sz w:val="52"/>
          <w:szCs w:val="52"/>
        </w:rPr>
        <w:t>摘要</w:t>
      </w:r>
    </w:p>
    <w:p>
      <w:pPr>
        <w:spacing w:beforeLines="50" w:line="400" w:lineRule="exact"/>
        <w:jc w:val="both"/>
        <w:rPr>
          <w:rFonts w:ascii="標楷體" w:hAnsi="標楷體" w:eastAsia="標楷體" w:cs="Calibri"/>
          <w:sz w:val="28"/>
          <w:szCs w:val="28"/>
        </w:rPr>
      </w:pPr>
      <w:r>
        <w:rPr>
          <w:rFonts w:hint="eastAsia" w:ascii="標楷體" w:hAnsi="標楷體" w:eastAsia="標楷體" w:cs="Calibri"/>
          <w:sz w:val="28"/>
          <w:szCs w:val="28"/>
        </w:rPr>
        <w:t xml:space="preserve">    鳳梨原產於熱帶美洲，由哥倫布發現新大陸後，由美洲傳入歐洲，中國大陸於16世紀中葉年傳入，台灣鳳梨栽培，始於清朝末年1694年，距今已有300餘年。臺灣和鳳梨的產業互動關最早可追溯日治時期</w:t>
      </w:r>
      <w:r>
        <w:rPr>
          <w:rFonts w:ascii="標楷體" w:hAnsi="標楷體" w:eastAsia="標楷體" w:cs="Calibri"/>
          <w:sz w:val="28"/>
          <w:szCs w:val="28"/>
        </w:rPr>
        <w:t>，</w:t>
      </w:r>
      <w:r>
        <w:rPr>
          <w:rFonts w:hint="eastAsia" w:ascii="標楷體" w:hAnsi="標楷體" w:eastAsia="標楷體" w:cs="Calibri"/>
          <w:sz w:val="28"/>
          <w:szCs w:val="28"/>
        </w:rPr>
        <w:t>罐頭產品成為運輸熱带水果的最佳方式，台灣更在</w:t>
      </w:r>
      <w:r>
        <w:rPr>
          <w:rFonts w:ascii="標楷體" w:hAnsi="標楷體" w:eastAsia="標楷體" w:cs="Calibri"/>
          <w:sz w:val="28"/>
          <w:szCs w:val="28"/>
        </w:rPr>
        <w:t>1971</w:t>
      </w:r>
      <w:r>
        <w:rPr>
          <w:rFonts w:hint="eastAsia" w:ascii="標楷體" w:hAnsi="標楷體" w:eastAsia="標楷體" w:cs="Calibri"/>
          <w:sz w:val="28"/>
          <w:szCs w:val="28"/>
        </w:rPr>
        <w:t>年創下外銷鳳梨罐頭世界第一，也使得鳳梨的製罐發展達到高峰。</w:t>
      </w:r>
    </w:p>
    <w:p>
      <w:pPr>
        <w:spacing w:beforeLines="50" w:line="400" w:lineRule="exact"/>
        <w:ind w:firstLine="560" w:firstLineChars="200"/>
        <w:jc w:val="both"/>
        <w:rPr>
          <w:rFonts w:ascii="標楷體" w:hAnsi="標楷體" w:eastAsia="標楷體" w:cs="Calibri"/>
          <w:sz w:val="28"/>
          <w:szCs w:val="28"/>
        </w:rPr>
      </w:pPr>
      <w:r>
        <w:rPr>
          <w:rFonts w:hint="eastAsia" w:ascii="標楷體" w:hAnsi="標楷體" w:eastAsia="標楷體" w:cs="Calibri"/>
          <w:sz w:val="28"/>
          <w:szCs w:val="28"/>
        </w:rPr>
        <w:t>隨後由於臺灣工商業發展迅速，農村勞力流向都市，造成耕作力老化，工資及生產資材成本提高，以低廉的價格行銷於國際市場，嚴重衝擊臺灣外銷鳳梨罐頭，造成生產意願大為降低，栽培面積因而逐年減少。導致臺灣鳳梨產銷形態由昔日「加工外銷為主，內銷為副」，漸漸轉變為「鮮食內銷為主，外銷為副」的趨勢。因此，未來的台灣鳳梨產業仍應朝向鮮食品種發展，除加強耐貯運鮮食品種選育外，並應提昇栽培技術，以生產高品質果品，使能滿足國內鮮食市場外，仍應積極拓展鮮食鳳梨外銷市場，創造新的競爭力，臺灣鳳梨產業得以永續經營。</w:t>
      </w:r>
    </w:p>
    <w:p>
      <w:pPr>
        <w:spacing w:beforeLines="50" w:line="400" w:lineRule="exact"/>
        <w:jc w:val="both"/>
        <w:rPr>
          <w:rFonts w:ascii="標楷體" w:hAnsi="標楷體" w:eastAsia="標楷體" w:cs="Helvetica"/>
          <w:sz w:val="28"/>
          <w:szCs w:val="28"/>
          <w:shd w:val="clear" w:color="auto" w:fill="FDFDFD"/>
        </w:rPr>
      </w:pPr>
      <w:r>
        <w:rPr>
          <w:rFonts w:hint="eastAsia" w:ascii="標楷體" w:hAnsi="標楷體" w:eastAsia="標楷體" w:cs="Calibri"/>
          <w:sz w:val="28"/>
          <w:szCs w:val="28"/>
        </w:rPr>
        <w:t xml:space="preserve"> </w:t>
      </w:r>
      <w:r>
        <w:rPr>
          <w:rFonts w:ascii="標楷體" w:hAnsi="標楷體" w:eastAsia="標楷體" w:cs="Calibri"/>
          <w:sz w:val="28"/>
          <w:szCs w:val="28"/>
        </w:rPr>
        <w:t xml:space="preserve">   </w:t>
      </w:r>
      <w:r>
        <w:rPr>
          <w:rFonts w:ascii="標楷體" w:hAnsi="標楷體" w:eastAsia="標楷體" w:cs="Helvetica"/>
          <w:sz w:val="28"/>
          <w:szCs w:val="28"/>
          <w:shd w:val="clear" w:color="auto" w:fill="FDFDFD"/>
        </w:rPr>
        <w:t>中國大陸是台灣出口農產品外銷最大的市場，幾乎佔九成以上的台灣外銷訂單。如今，隨著兩岸高度緊張的大背景下，中國這個超級市場已能夠大量且快速生產農作物，將來是否還要繼續讓台灣水果進口或禁止哪些農產品進口，</w:t>
      </w:r>
      <w:r>
        <w:rPr>
          <w:rFonts w:hint="eastAsia" w:ascii="標楷體" w:hAnsi="標楷體" w:eastAsia="標楷體" w:cs="Helvetica"/>
          <w:sz w:val="28"/>
          <w:szCs w:val="28"/>
          <w:shd w:val="clear" w:color="auto" w:fill="FDFDFD"/>
        </w:rPr>
        <w:t>我們將更深入的做探討。</w:t>
      </w:r>
    </w:p>
    <w:p>
      <w:pPr>
        <w:spacing w:beforeLines="50" w:line="400" w:lineRule="exact"/>
        <w:jc w:val="both"/>
        <w:rPr>
          <w:rFonts w:ascii="標楷體" w:hAnsi="標楷體" w:eastAsia="標楷體" w:cs="Helvetica"/>
          <w:sz w:val="28"/>
          <w:szCs w:val="28"/>
          <w:shd w:val="clear" w:color="auto" w:fill="FDFDFD"/>
        </w:rPr>
      </w:pPr>
      <w:r>
        <w:rPr>
          <w:rFonts w:hint="eastAsia" w:ascii="標楷體" w:hAnsi="標楷體" w:eastAsia="標楷體" w:cs="Helvetica"/>
          <w:sz w:val="28"/>
          <w:szCs w:val="28"/>
          <w:shd w:val="clear" w:color="auto" w:fill="FDFDFD"/>
        </w:rPr>
        <w:t xml:space="preserve">    另一方面，近兩年來新冠肺炎的影響，對台灣農產業造成巨大衝擊，也造成台灣格外大的經濟壓力。</w:t>
      </w:r>
    </w:p>
    <w:p>
      <w:pPr>
        <w:spacing w:beforeLines="50" w:line="400" w:lineRule="exact"/>
        <w:jc w:val="both"/>
        <w:rPr>
          <w:rFonts w:ascii="標楷體" w:hAnsi="標楷體" w:eastAsia="標楷體" w:cs="Helvetica"/>
          <w:sz w:val="28"/>
          <w:szCs w:val="28"/>
          <w:shd w:val="clear" w:color="auto" w:fill="FDFDFD"/>
        </w:rPr>
      </w:pPr>
      <w:r>
        <w:rPr>
          <w:rFonts w:hint="eastAsia" w:ascii="標楷體" w:hAnsi="標楷體" w:eastAsia="標楷體" w:cs="Helvetica"/>
          <w:sz w:val="28"/>
          <w:szCs w:val="28"/>
          <w:shd w:val="clear" w:color="auto" w:fill="FDFDFD"/>
        </w:rPr>
        <w:t>關鍵字:鳳梨、外銷市場、兩岸高度緊張、新冠肺炎、經濟壓力</w:t>
      </w:r>
    </w:p>
    <w:p>
      <w:pPr>
        <w:widowControl/>
        <w:rPr>
          <w:rFonts w:ascii="標楷體" w:hAnsi="標楷體" w:eastAsia="標楷體" w:cs="Helvetica"/>
          <w:sz w:val="28"/>
          <w:szCs w:val="28"/>
          <w:shd w:val="clear" w:color="auto" w:fill="FDFDFD"/>
        </w:rPr>
      </w:pPr>
      <w:r>
        <w:rPr>
          <w:rFonts w:ascii="Calibri" w:hAnsi="Calibri"/>
          <w:kern w:val="2"/>
          <w:sz w:val="40"/>
          <w:szCs w:val="40"/>
          <w:lang w:val="en-US" w:eastAsia="zh-TW" w:bidi="ar-SA"/>
        </w:rPr>
        <w:pict>
          <v:shape id="圖片 9" o:spid="_x0000_s1027" type="#_x0000_t75" style="position:absolute;left:0;margin-top:9.6pt;height:169.8pt;width:275.4pt;mso-position-horizontal:center;mso-position-horizontal-relative:margin;mso-wrap-distance-left:9pt;mso-wrap-distance-right:9pt;rotation:0f;z-index:-251653120;" o:ole="f" fillcolor="#FFFFFF" filled="f" o:preferrelative="t" stroked="f" coordorigin="0,0" coordsize="21600,21600" wrapcoords="0 0 0 21371 21529 21371 21529 0 0 0">
            <v:fill on="f" color2="#FFFFFF" focus="0%"/>
            <v:imagedata gain="65536f" blacklevel="0f" gamma="0" o:title="" r:id="rId6"/>
            <o:lock v:ext="edit" position="f" selection="f" grouping="f" rotation="f" cropping="f" text="f" aspectratio="t"/>
            <w10:wrap type="tight"/>
          </v:shape>
        </w:pict>
      </w:r>
      <w:r>
        <w:rPr>
          <w:rFonts w:ascii="標楷體" w:hAnsi="標楷體" w:eastAsia="標楷體" w:cs="Helvetica"/>
          <w:sz w:val="28"/>
          <w:szCs w:val="28"/>
          <w:shd w:val="clear" w:color="auto" w:fill="FDFDFD"/>
        </w:rPr>
        <w:br w:type="page"/>
      </w:r>
    </w:p>
    <w:p>
      <w:pPr>
        <w:widowControl/>
        <w:jc w:val="center"/>
        <w:rPr>
          <w:rFonts w:ascii="標楷體" w:hAnsi="標楷體" w:eastAsia="標楷體" w:cs="Calibri"/>
          <w:sz w:val="52"/>
          <w:szCs w:val="52"/>
        </w:rPr>
      </w:pPr>
      <w:r>
        <w:rPr>
          <w:rFonts w:hint="eastAsia" w:ascii="標楷體" w:hAnsi="標楷體" w:eastAsia="標楷體" w:cs="Calibri"/>
          <w:sz w:val="52"/>
          <w:szCs w:val="52"/>
        </w:rPr>
        <w:t>前言</w:t>
      </w:r>
    </w:p>
    <w:p>
      <w:pPr>
        <w:spacing w:line="400" w:lineRule="exact"/>
        <w:jc w:val="both"/>
        <w:rPr>
          <w:rFonts w:ascii="標楷體" w:hAnsi="標楷體" w:eastAsia="標楷體" w:cs="Calibri"/>
          <w:sz w:val="28"/>
          <w:szCs w:val="28"/>
        </w:rPr>
      </w:pPr>
      <w:r>
        <w:rPr>
          <w:rFonts w:hint="eastAsia" w:ascii="標楷體" w:hAnsi="標楷體" w:eastAsia="標楷體" w:cs="Calibri"/>
          <w:sz w:val="28"/>
          <w:szCs w:val="28"/>
        </w:rPr>
        <w:t xml:space="preserve">    水果經濟之顯著擴張，可謂晚近台灣農村最顯著的變遷之一，也是理解小農經濟現代變遷的關鍵鑰匙。農藝精湛的果農是台灣農村寶貴的資產。台灣水果種類多達30餘種，產區遍佈全國，產品除少量外銷外，主要供應內銷市場。台灣各類果樹皆有其產業之特色；有些以新興品種、品種多樣化吸引消費者，或者利用精進之生產技術生產優良果品，佔有市場。</w:t>
      </w:r>
    </w:p>
    <w:p>
      <w:pPr>
        <w:spacing w:line="400" w:lineRule="exact"/>
        <w:jc w:val="both"/>
        <w:rPr>
          <w:rFonts w:ascii="標楷體" w:hAnsi="標楷體" w:eastAsia="標楷體"/>
          <w:sz w:val="28"/>
          <w:szCs w:val="28"/>
        </w:rPr>
      </w:pPr>
      <w:r>
        <w:rPr>
          <w:rFonts w:hint="eastAsia" w:ascii="標楷體" w:hAnsi="標楷體" w:eastAsia="標楷體"/>
          <w:sz w:val="28"/>
          <w:szCs w:val="28"/>
        </w:rPr>
        <w:t xml:space="preserve">    回顧臺灣近代農業發展歷程，受自然條件限制，並非如西方國家的產權集中與規模生產。光復初期</w:t>
      </w:r>
      <w:r>
        <w:rPr>
          <w:rFonts w:ascii="標楷體" w:hAnsi="標楷體" w:eastAsia="標楷體"/>
          <w:sz w:val="28"/>
          <w:szCs w:val="28"/>
        </w:rPr>
        <w:t>，</w:t>
      </w:r>
      <w:r>
        <w:rPr>
          <w:rFonts w:hint="eastAsia" w:ascii="標楷體" w:hAnsi="標楷體" w:eastAsia="標楷體"/>
          <w:sz w:val="28"/>
          <w:szCs w:val="28"/>
        </w:rPr>
        <w:t>農業首重充實糧食作物</w:t>
      </w:r>
      <w:r>
        <w:rPr>
          <w:rFonts w:ascii="標楷體" w:hAnsi="標楷體" w:eastAsia="標楷體"/>
          <w:sz w:val="28"/>
          <w:szCs w:val="28"/>
        </w:rPr>
        <w:t>，</w:t>
      </w:r>
      <w:r>
        <w:rPr>
          <w:rFonts w:hint="eastAsia" w:ascii="標楷體" w:hAnsi="標楷體" w:eastAsia="標楷體"/>
          <w:sz w:val="28"/>
          <w:szCs w:val="28"/>
        </w:rPr>
        <w:t>以稻米栽種為大宗</w:t>
      </w:r>
      <w:r>
        <w:rPr>
          <w:rFonts w:ascii="標楷體" w:hAnsi="標楷體" w:eastAsia="標楷體"/>
          <w:sz w:val="28"/>
          <w:szCs w:val="28"/>
        </w:rPr>
        <w:t>，</w:t>
      </w:r>
      <w:r>
        <w:rPr>
          <w:rFonts w:hint="eastAsia" w:ascii="標楷體" w:hAnsi="標楷體" w:eastAsia="標楷體"/>
          <w:sz w:val="28"/>
          <w:szCs w:val="28"/>
        </w:rPr>
        <w:t>在土地改革後，臺灣小農體制生產關係於是萌生。直至1960年代，國內農業生產已達自給自足而有餘的階段，逐漸累積資本，政府開始鼓勵農民種植經濟作物，並積極開拓國外市場，而且為方便長途運輸，也注重發展食品加工業。此後臺灣逐漸有能力發展輕工業，促使業開始起飛，經濟重心逐漸由農業移轉到工商業，導致農業勞力產生缺乏現象，農業發展面臨瓶頸。隨著國家政策放手與移轉，農民逐漸分化往市場經濟接軌，小農生產與高度商品化生產的農業經濟特殊性因而成形，1980年代以後，隨著經貿自由化，國際市場的動態變化影響國內市場與產銷穩定，臺灣農業在生產關係以及流通市場面臨全球化的挑戰。雖然急速的工業化與全球化，使臺灣農業面臨農村人口流失、貧窮化、兼業化的惡劣情況，令人意外的是小農經濟並沒有在快速現代變遷下就此瓦解，反而刺激了農業精緻化以及多樣化的發展。</w:t>
      </w:r>
    </w:p>
    <w:p>
      <w:pPr>
        <w:spacing w:line="400" w:lineRule="exact"/>
        <w:jc w:val="both"/>
        <w:rPr>
          <w:rFonts w:ascii="標楷體" w:hAnsi="標楷體" w:eastAsia="標楷體"/>
          <w:sz w:val="28"/>
          <w:szCs w:val="24"/>
        </w:rPr>
      </w:pPr>
      <w:r>
        <w:rPr>
          <w:rFonts w:hint="eastAsia" w:ascii="標楷體" w:hAnsi="標楷體" w:eastAsia="標楷體"/>
          <w:sz w:val="28"/>
          <w:szCs w:val="24"/>
        </w:rPr>
        <w:t xml:space="preserve">    光復後，鳳梨罐頭持續發展，並為臺灣創下出口全球冠，使臺灣有「鳳梨王國」的美名。而後，罐頭工業遭遇低潮，鳳梨產業被迫轉型。在政府輔導品種改良後，發展至今以金鑽鳳梨與菲律賓、泰國等東南亞國家種植的古老鳳梨品種，近似於臺灣的土鳳梨，成功的做市場區隔，創下外銷佳績2008年7月開放大陸人民接臺觀光後，對於鳳梨酥需求量增加，臺灣鳳梨的年產值大幅提升。2008年至2012年，31%大陸遊客購買臺灣鳳梨酥，42%遊客的親友指定從臺灣帶回鳳梨酥，短短四年間鳳梨酥產值暴漲近17倍，達260億元新台幣。在全球化競爭的發展下，昔日曾經風光的香蕉，光環不再;近年出口大受歡迎的芒果、釋迦、蓮霧及柑橘等等也因為氣候異常，遭遇寒害、颱風或暖冬、缺水影響，在價格與供應方面不易維持穩定的情形，更在2002年臺灣加入WTO後，劇烈衝擊銷售場。反觀鳳梨卻是少數產銷不受影響的水果，反而在近20年來，臺灣鳳梨無論是鮮食或加工，在產量與產值上都有顯著成長。臺灣的農業經濟發展與鳳梨關係密切，鳳梨產業的變可視為一個兼具臺灣歷史、社會、文化甚至於地理內涵的長期結構過程，是人與自然以及人與社會互動的產物，然而社會政治經濟的結構並非停滯不變，而是始終處於變遷的狀態時而激烈，時而平穩。</w:t>
      </w:r>
    </w:p>
    <w:p>
      <w:pPr>
        <w:spacing w:line="400" w:lineRule="exact"/>
        <w:jc w:val="both"/>
        <w:rPr>
          <w:rFonts w:ascii="標楷體" w:hAnsi="標楷體" w:eastAsia="標楷體"/>
          <w:sz w:val="28"/>
          <w:szCs w:val="24"/>
        </w:rPr>
      </w:pPr>
    </w:p>
    <w:p>
      <w:pPr>
        <w:spacing w:line="400" w:lineRule="exact"/>
        <w:jc w:val="both"/>
        <w:rPr>
          <w:rFonts w:ascii="標楷體" w:hAnsi="標楷體" w:eastAsia="標楷體"/>
          <w:b/>
          <w:bCs/>
          <w:sz w:val="32"/>
          <w:szCs w:val="32"/>
        </w:rPr>
      </w:pPr>
      <w:r>
        <w:rPr>
          <w:rFonts w:hint="eastAsia" w:ascii="標楷體" w:hAnsi="標楷體" w:eastAsia="標楷體"/>
          <w:b/>
          <w:bCs/>
          <w:sz w:val="32"/>
          <w:szCs w:val="32"/>
        </w:rPr>
        <w:t>中國暫緩進口台產鳳梨 燒出台灣「農產品產業鏈」單一市場依賴焦慮</w:t>
      </w:r>
    </w:p>
    <w:p>
      <w:pPr>
        <w:spacing w:line="400" w:lineRule="exact"/>
        <w:jc w:val="both"/>
        <w:rPr>
          <w:rFonts w:ascii="標楷體" w:hAnsi="標楷體" w:eastAsia="標楷體"/>
          <w:sz w:val="28"/>
          <w:szCs w:val="24"/>
        </w:rPr>
      </w:pPr>
      <w:r>
        <w:rPr>
          <w:rFonts w:hint="eastAsia" w:ascii="標楷體" w:hAnsi="標楷體" w:eastAsia="標楷體"/>
          <w:sz w:val="28"/>
          <w:szCs w:val="24"/>
        </w:rPr>
        <w:t xml:space="preserve">    </w:t>
      </w:r>
      <w:r>
        <w:rPr>
          <w:rFonts w:ascii="標楷體" w:hAnsi="標楷體" w:eastAsia="標楷體"/>
          <w:sz w:val="28"/>
          <w:szCs w:val="24"/>
        </w:rPr>
        <w:t>中國海關總署在2月25日以台灣鳳梨（又稱菠蘿）有病蟲害為由，宣佈3月1日起暫緩進口到中國大陸。此禁令立即在台引起激烈討論，被台媒稱為「鳳梨之亂」的相關話題在台灣不斷延燒，也燒出有關台灣農產品是否過度依賴中國單一市場，以及此禁令究竟是商業抑或政治因素干擾等重要話題。在台灣台南，種植鳳梨多年的果農楊宇帆向BBC中文解釋，此禁令除了是政治因素之外，同時反映出台灣農產品外銷的問題。他說，比起日本，中國大陸接收鳳梨進口的要求較低並且快速，吸引到農人想賺快錢，急著想把「貨送出去」的心理，造成過度依賴單一市場，便造成風險。根據數據，台灣鳳梨約有10%外銷，外銷中約9成輸入中國大陸，佔約1億5千萬美元。</w:t>
      </w:r>
    </w:p>
    <w:p>
      <w:pPr>
        <w:spacing w:line="400" w:lineRule="exact"/>
        <w:rPr>
          <w:rFonts w:ascii="標楷體" w:hAnsi="標楷體" w:eastAsia="標楷體"/>
          <w:sz w:val="28"/>
          <w:szCs w:val="24"/>
        </w:rPr>
      </w:pPr>
      <w:r>
        <w:rPr>
          <w:rFonts w:hint="eastAsia"/>
        </w:rPr>
        <w:t xml:space="preserve">    </w:t>
      </w:r>
      <w:r>
        <w:rPr>
          <w:rFonts w:hint="eastAsia" w:ascii="標楷體" w:hAnsi="標楷體" w:eastAsia="標楷體"/>
          <w:sz w:val="28"/>
          <w:szCs w:val="24"/>
        </w:rPr>
        <w:t>在台灣，除了鳳梨酥，鳳梨是廣受歡迎的特產。由每年2月開始，從島嶼最南端的農業大縣屏東開始往北收成，到夏季七八月左右。現在產季才剛開始，此次中國祭出的鳳梨暫緩進口令，影響台灣鳳梨外銷甚大。台灣普遍輿論也因為此次禁令，開始討論台灣農產品「外銷產業鏈」的問題。中國這個超級市場已能夠大量且快速生產農作物，將來是否還要繼續讓台灣水果進口或禁止哪些農產品進口，手上擁有充足籌碼，外界認為鳳梨事件可能只是個開始。</w:t>
      </w:r>
    </w:p>
    <w:p>
      <w:pPr>
        <w:widowControl/>
        <w:rPr>
          <w:rFonts w:ascii="標楷體" w:hAnsi="標楷體" w:eastAsia="標楷體"/>
          <w:sz w:val="28"/>
          <w:szCs w:val="24"/>
        </w:rPr>
      </w:pPr>
      <w:r>
        <w:rPr>
          <w:rFonts w:ascii="標楷體" w:hAnsi="標楷體" w:eastAsia="標楷體"/>
          <w:sz w:val="28"/>
          <w:szCs w:val="24"/>
        </w:rPr>
        <w:br w:type="page"/>
      </w:r>
    </w:p>
    <w:p>
      <w:pPr>
        <w:pStyle w:val="7"/>
        <w:jc w:val="center"/>
        <w:rPr>
          <w:rFonts w:ascii="標楷體" w:hAnsi="標楷體" w:eastAsia="標楷體"/>
          <w:sz w:val="52"/>
          <w:szCs w:val="52"/>
        </w:rPr>
      </w:pPr>
      <w:r>
        <w:rPr>
          <w:rFonts w:hint="eastAsia" w:ascii="標楷體" w:hAnsi="標楷體" w:eastAsia="標楷體"/>
          <w:sz w:val="52"/>
          <w:szCs w:val="52"/>
        </w:rPr>
        <w:t>緒論</w:t>
      </w:r>
    </w:p>
    <w:p>
      <w:pPr>
        <w:pStyle w:val="7"/>
        <w:rPr>
          <w:rFonts w:ascii="標楷體" w:hAnsi="標楷體" w:eastAsia="標楷體"/>
          <w:b/>
          <w:bCs/>
          <w:sz w:val="26"/>
          <w:szCs w:val="26"/>
        </w:rPr>
      </w:pPr>
      <w:r>
        <w:rPr>
          <w:rFonts w:hint="eastAsia" w:ascii="標楷體" w:hAnsi="標楷體" w:eastAsia="標楷體"/>
          <w:b/>
          <w:bCs/>
          <w:sz w:val="36"/>
          <w:szCs w:val="36"/>
        </w:rPr>
        <w:t>台灣農產業進出口現況</w:t>
      </w:r>
      <w:r>
        <w:rPr>
          <w:rFonts w:ascii="標楷體" w:hAnsi="標楷體" w:eastAsia="標楷體"/>
          <w:b/>
          <w:bCs/>
          <w:sz w:val="36"/>
          <w:szCs w:val="36"/>
        </w:rPr>
        <w:br/>
      </w:r>
      <w:r>
        <w:rPr>
          <w:rFonts w:hint="eastAsia" w:ascii="標楷體" w:hAnsi="標楷體" w:eastAsia="標楷體"/>
          <w:sz w:val="26"/>
          <w:szCs w:val="26"/>
        </w:rPr>
        <w:t xml:space="preserve">    按照經濟法則，每一個國家出口其自身比較有利益的產品，進口其比較無利益的產品。生產型農業不再是農業發展的核心，當商業模式進化到「消費者導向」、「後消費者時代（電子商務、區塊鏈）」，臺灣農業發展一定得擺脫生產者導向的思維，進入產業供應鏈的思維模式。臺灣腹地狹小，人工成本高，沒有成為農產品大國的天然條件。於是，我國農產品出口淨竟總出口的 </w:t>
      </w:r>
      <w:r>
        <w:rPr>
          <w:rFonts w:ascii="標楷體" w:hAnsi="標楷體" w:eastAsia="標楷體"/>
          <w:sz w:val="26"/>
          <w:szCs w:val="26"/>
        </w:rPr>
        <w:t>0.3</w:t>
      </w:r>
      <w:r>
        <w:rPr>
          <w:rFonts w:hint="eastAsia" w:ascii="標楷體" w:hAnsi="標楷體" w:eastAsia="標楷體"/>
          <w:sz w:val="26"/>
          <w:szCs w:val="26"/>
        </w:rPr>
        <w:t>%，而農產加工品竟占總出口的</w:t>
      </w:r>
      <w:r>
        <w:rPr>
          <w:rFonts w:ascii="標楷體" w:hAnsi="標楷體" w:eastAsia="標楷體"/>
          <w:sz w:val="26"/>
          <w:szCs w:val="26"/>
        </w:rPr>
        <w:t>1.3</w:t>
      </w:r>
      <w:r>
        <w:rPr>
          <w:rFonts w:hint="eastAsia" w:ascii="標楷體" w:hAnsi="標楷體" w:eastAsia="標楷體"/>
          <w:sz w:val="26"/>
          <w:szCs w:val="26"/>
        </w:rPr>
        <w:t>%，二者共約占總出的1</w:t>
      </w:r>
      <w:r>
        <w:rPr>
          <w:rFonts w:ascii="標楷體" w:hAnsi="標楷體" w:eastAsia="標楷體"/>
          <w:sz w:val="26"/>
          <w:szCs w:val="26"/>
        </w:rPr>
        <w:t>.6%</w:t>
      </w:r>
    </w:p>
    <w:p>
      <w:pPr>
        <w:pStyle w:val="7"/>
        <w:rPr>
          <w:rFonts w:ascii="標楷體" w:hAnsi="標楷體" w:eastAsia="標楷體"/>
        </w:rPr>
      </w:pPr>
      <w:r>
        <w:rPr>
          <w:rFonts w:ascii="標楷體" w:hAnsi="標楷體" w:eastAsia="標楷體"/>
        </w:rPr>
        <w:fldChar w:fldCharType="begin"/>
      </w:r>
      <w:r>
        <w:rPr>
          <w:rFonts w:ascii="標楷體" w:hAnsi="標楷體" w:eastAsia="標楷體"/>
        </w:rPr>
        <w:instrText xml:space="preserve"> INCLUDEPICTURE "https://lh3.googleusercontent.com/proxy/cEsb9cL6XgrIbzRAo_t8hRyNwaHTiVP2B5QKDLlUYu_gkN_tMdQx1dWrXjsU69-WbXKDRTcnmL62HI-iLJYFzZHYZwNF-BYO676a_MQmSfBKTIM0Exlgwf4RnQyT" \* MERGEFORMATINET </w:instrText>
      </w:r>
      <w:r>
        <w:rPr>
          <w:rFonts w:ascii="標楷體" w:hAnsi="標楷體" w:eastAsia="標楷體"/>
        </w:rPr>
        <w:fldChar w:fldCharType="separate"/>
      </w:r>
      <w:r>
        <w:rPr>
          <w:rFonts w:ascii="標楷體" w:hAnsi="標楷體" w:eastAsia="標楷體" w:cs="新細明體"/>
          <w:kern w:val="0"/>
          <w:sz w:val="24"/>
          <w:szCs w:val="24"/>
          <w:lang w:val="en-US" w:eastAsia="zh-TW" w:bidi="ar-SA"/>
        </w:rPr>
        <w:pict>
          <v:shape id="圖片框 1027" o:spid="_x0000_s1028" type="#_x0000_t75" style="height:154.45pt;width:409.2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r>
        <w:rPr>
          <w:rFonts w:ascii="標楷體" w:hAnsi="標楷體" w:eastAsia="標楷體"/>
        </w:rPr>
        <w:fldChar w:fldCharType="end"/>
      </w:r>
    </w:p>
    <w:p>
      <w:pPr>
        <w:pStyle w:val="7"/>
        <w:rPr>
          <w:rFonts w:ascii="標楷體" w:hAnsi="標楷體" w:eastAsia="標楷體"/>
          <w:sz w:val="26"/>
          <w:szCs w:val="26"/>
        </w:rPr>
      </w:pPr>
      <w:r>
        <w:rPr>
          <w:rFonts w:hint="eastAsia" w:ascii="標楷體" w:hAnsi="標楷體" w:eastAsia="標楷體"/>
          <w:sz w:val="26"/>
          <w:szCs w:val="26"/>
        </w:rPr>
        <w:t xml:space="preserve">    本研究從國產水果農產業的現況出發，連結到國內農業產業的發展歷程與國產水果產業鏈之關係，說明國產水果產業發展與產業鏈建構之重要性；國產水果是觀察臺灣果農產業政策成敗的關鍵指標，國內對於國產水果產業的研究相對闕如，主因仍在於國人對水果農業外銷單一市場的關注程度不高，對農業生產數量指標的重視高過其他一切；本研究希望能為後進研究者開闢一條新的研究方向，跳脫單一面向的點狀思考，進而以全面性的關照果農市場經濟為出發，為臺灣果農業發展道路，注入活水。</w:t>
      </w:r>
    </w:p>
    <w:p>
      <w:pPr>
        <w:pStyle w:val="7"/>
        <w:rPr>
          <w:rFonts w:ascii="標楷體" w:hAnsi="標楷體" w:eastAsia="標楷體"/>
          <w:sz w:val="26"/>
          <w:szCs w:val="26"/>
        </w:rPr>
      </w:pPr>
      <w:r>
        <w:rPr>
          <w:rFonts w:ascii="標楷體" w:hAnsi="標楷體" w:eastAsia="標楷體"/>
          <w:sz w:val="26"/>
          <w:szCs w:val="26"/>
        </w:rPr>
        <w:t>水果產業逐漸發展為分工的模式運作，在不同地區分別進行資材生產、栽培、加工與銷售的工作。依據杜克大學全球化管理與競爭力中心指出，水果產業鏈主要可區分為資材投入、栽培、包裝與冷藏、加工、配銷與行銷</w:t>
      </w:r>
      <w:r>
        <w:rPr>
          <w:rFonts w:hint="eastAsia" w:ascii="標楷體" w:hAnsi="標楷體" w:eastAsia="標楷體"/>
          <w:sz w:val="26"/>
          <w:szCs w:val="26"/>
        </w:rPr>
        <w:t>。</w:t>
      </w:r>
      <w:r>
        <w:rPr>
          <w:rFonts w:ascii="標楷體" w:hAnsi="標楷體" w:eastAsia="標楷體" w:cs="新細明體"/>
          <w:kern w:val="0"/>
          <w:sz w:val="26"/>
          <w:szCs w:val="26"/>
          <w:lang w:val="en-US" w:eastAsia="zh-TW" w:bidi="ar-SA"/>
        </w:rPr>
        <w:pict>
          <v:shape id="圖片框 1028" o:spid="_x0000_s1029" type="#_x0000_t75" style="height:238.75pt;width:396.6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7"/>
        <w:rPr>
          <w:rFonts w:ascii="標楷體" w:hAnsi="標楷體" w:eastAsia="標楷體"/>
          <w:sz w:val="26"/>
          <w:szCs w:val="26"/>
        </w:rPr>
      </w:pPr>
      <w:r>
        <w:rPr>
          <w:rFonts w:hint="eastAsia" w:ascii="標楷體" w:hAnsi="標楷體" w:eastAsia="標楷體"/>
          <w:sz w:val="26"/>
          <w:szCs w:val="26"/>
        </w:rPr>
        <w:t xml:space="preserve">    其中配銷與行銷各項水果會</w:t>
      </w:r>
      <w:r>
        <w:rPr>
          <w:rFonts w:ascii="標楷體" w:hAnsi="標楷體" w:eastAsia="標楷體"/>
          <w:sz w:val="26"/>
          <w:szCs w:val="26"/>
        </w:rPr>
        <w:t>藉由不同通路配銷，包含超市、小規模零售業、批發業與食品服務業。在農業生產上，相較於榖</w:t>
      </w:r>
      <w:r>
        <w:rPr>
          <w:rFonts w:hint="eastAsia" w:ascii="標楷體" w:hAnsi="標楷體" w:eastAsia="標楷體"/>
          <w:sz w:val="26"/>
          <w:szCs w:val="26"/>
        </w:rPr>
        <w:t>物</w:t>
      </w:r>
      <w:r>
        <w:rPr>
          <w:rFonts w:ascii="標楷體" w:hAnsi="標楷體" w:eastAsia="標楷體"/>
          <w:sz w:val="26"/>
          <w:szCs w:val="26"/>
        </w:rPr>
        <w:t>類</w:t>
      </w:r>
      <w:r>
        <w:rPr>
          <w:rFonts w:hint="eastAsia" w:ascii="標楷體" w:hAnsi="標楷體" w:eastAsia="標楷體"/>
          <w:sz w:val="26"/>
          <w:szCs w:val="26"/>
        </w:rPr>
        <w:t>的農</w:t>
      </w:r>
      <w:r>
        <w:rPr>
          <w:rFonts w:ascii="標楷體" w:hAnsi="標楷體" w:eastAsia="標楷體"/>
          <w:sz w:val="26"/>
          <w:szCs w:val="26"/>
        </w:rPr>
        <w:t>作物，水果產業屬於勞力</w:t>
      </w:r>
      <w:r>
        <w:rPr>
          <w:rFonts w:hint="eastAsia" w:ascii="標楷體" w:hAnsi="標楷體" w:eastAsia="標楷體"/>
          <w:sz w:val="26"/>
          <w:szCs w:val="26"/>
        </w:rPr>
        <w:t>較</w:t>
      </w:r>
      <w:r>
        <w:rPr>
          <w:rFonts w:ascii="標楷體" w:hAnsi="標楷體" w:eastAsia="標楷體"/>
          <w:sz w:val="26"/>
          <w:szCs w:val="26"/>
        </w:rPr>
        <w:t>密集的產業，仰賴許多採收後處理的工作以提高產品價值。包裝與加工包含清洗、切片、混合包裝、品牌、貼上條碼等工作，多半必須在</w:t>
      </w:r>
      <w:r>
        <w:rPr>
          <w:rFonts w:hint="eastAsia" w:ascii="標楷體" w:hAnsi="標楷體" w:eastAsia="標楷體"/>
          <w:sz w:val="26"/>
          <w:szCs w:val="26"/>
        </w:rPr>
        <w:t>原</w:t>
      </w:r>
      <w:r>
        <w:rPr>
          <w:rFonts w:ascii="標楷體" w:hAnsi="標楷體" w:eastAsia="標楷體"/>
          <w:sz w:val="26"/>
          <w:szCs w:val="26"/>
        </w:rPr>
        <w:t>產地進行，而無法在目標市場運作，但通常加工地點的勞工教育程度卻可能受限，同時由於水果產業鏈的複雜性，以及發展中國家彼此之間的競爭逐步增加，勞工技巧的提升為提升產業競爭力的關鍵。</w:t>
      </w:r>
    </w:p>
    <w:p>
      <w:pPr>
        <w:pStyle w:val="7"/>
        <w:jc w:val="center"/>
        <w:rPr>
          <w:rFonts w:ascii="標楷體" w:hAnsi="標楷體" w:eastAsia="標楷體"/>
          <w:sz w:val="26"/>
          <w:szCs w:val="26"/>
        </w:rPr>
      </w:pPr>
      <w:r>
        <w:rPr>
          <w:rFonts w:ascii="標楷體" w:hAnsi="標楷體" w:eastAsia="標楷體" w:cs="新細明體"/>
          <w:kern w:val="0"/>
          <w:sz w:val="26"/>
          <w:szCs w:val="26"/>
          <w:lang w:val="en-US" w:eastAsia="zh-TW" w:bidi="ar-SA"/>
        </w:rPr>
        <w:pict>
          <v:shape id="圖片框 1029" o:spid="_x0000_s1030" type="#_x0000_t75" style="height:240pt;width:356.9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7"/>
        <w:tabs>
          <w:tab w:val="left" w:pos="1468"/>
        </w:tabs>
        <w:rPr>
          <w:rFonts w:ascii="標楷體" w:hAnsi="標楷體" w:eastAsia="標楷體"/>
          <w:b/>
          <w:bCs/>
          <w:sz w:val="36"/>
          <w:szCs w:val="36"/>
        </w:rPr>
      </w:pPr>
      <w:r>
        <w:rPr>
          <w:rFonts w:hint="eastAsia" w:ascii="標楷體" w:hAnsi="標楷體" w:eastAsia="標楷體"/>
          <w:b/>
          <w:bCs/>
          <w:sz w:val="36"/>
          <w:szCs w:val="36"/>
        </w:rPr>
        <w:t>鳳梨事件</w:t>
      </w:r>
    </w:p>
    <w:p>
      <w:pPr>
        <w:widowControl/>
        <w:rPr>
          <w:rFonts w:ascii="標楷體" w:hAnsi="標楷體" w:eastAsia="標楷體" w:cs="新細明體"/>
          <w:kern w:val="0"/>
          <w:sz w:val="26"/>
          <w:szCs w:val="26"/>
        </w:rPr>
      </w:pPr>
      <w:r>
        <w:rPr>
          <w:rFonts w:hint="eastAsia" w:ascii="標楷體" w:hAnsi="標楷體" w:eastAsia="標楷體" w:cs="新細明體"/>
          <w:kern w:val="0"/>
          <w:sz w:val="26"/>
          <w:szCs w:val="26"/>
        </w:rPr>
        <w:t xml:space="preserve">    </w:t>
      </w:r>
      <w:r>
        <w:rPr>
          <w:rFonts w:ascii="標楷體" w:hAnsi="標楷體" w:eastAsia="標楷體" w:cs="新細明體"/>
          <w:kern w:val="0"/>
          <w:sz w:val="26"/>
          <w:szCs w:val="26"/>
        </w:rPr>
        <w:t>2006年10月17日至20日，第2屆「國共論壇」，頒布4大類20項擴大深化兩岸農業合作的政策措施，開闢兩岸農業的雙贏局面，中國將台灣進口鳳梨關稅降為零。即便這幾年外銷成績單持續進步，鳳梨產業總籠罩著一股烏雲，因為翻開關務署統計，台灣鮮食鳳梨有97%數量銷往中國，只有去年（2020）因</w:t>
      </w:r>
      <w:r>
        <w:fldChar w:fldCharType="begin"/>
      </w:r>
      <w:r>
        <w:instrText xml:space="preserve">HYPERLINK "https://www.twreporter.org/topics/2019-ncov" \t "_blank" </w:instrText>
      </w:r>
      <w:r>
        <w:fldChar w:fldCharType="separate"/>
      </w:r>
      <w:r>
        <w:rPr>
          <w:rFonts w:ascii="標楷體" w:hAnsi="標楷體" w:eastAsia="標楷體" w:cs="新細明體"/>
          <w:kern w:val="0"/>
          <w:sz w:val="26"/>
          <w:szCs w:val="26"/>
        </w:rPr>
        <w:t>COVID-19（又稱武漢肺炎、新冠肺炎）</w:t>
      </w:r>
      <w:r>
        <w:fldChar w:fldCharType="end"/>
      </w:r>
      <w:r>
        <w:rPr>
          <w:rFonts w:ascii="標楷體" w:hAnsi="標楷體" w:eastAsia="標楷體" w:cs="新細明體"/>
          <w:kern w:val="0"/>
          <w:sz w:val="26"/>
          <w:szCs w:val="26"/>
        </w:rPr>
        <w:t>疫情影響而有所消退。</w:t>
      </w:r>
    </w:p>
    <w:p>
      <w:pPr>
        <w:widowControl/>
        <w:rPr>
          <w:rFonts w:ascii="標楷體" w:hAnsi="標楷體" w:eastAsia="標楷體" w:cs="新細明體"/>
          <w:kern w:val="0"/>
          <w:sz w:val="26"/>
          <w:szCs w:val="26"/>
        </w:rPr>
      </w:pPr>
      <w:r>
        <w:rPr>
          <w:rFonts w:ascii="標楷體" w:hAnsi="標楷體" w:eastAsia="標楷體" w:cs="新細明體"/>
          <w:kern w:val="0"/>
          <w:sz w:val="26"/>
          <w:szCs w:val="26"/>
        </w:rPr>
        <w:t>2020年至今，台灣鳳梨輸往中國的檢疫合格率高達99.79%，且中國本土也有介殼蟲，中國卻直接禁止台灣鳳梨進口，不符國際貿易常規，明顯帶有政治因素干擾，其實也是鳳梨農一直在心中的噩夢成真。農委會雖宣布將投入10億元穩定鳳梨價格，但單以補貼止血的手段，無法真正健全產業。鳳梨是熱帶水果，外銷只能往北，不能南向，鄰近的日本、韓國都還有出口空間，雖然量不會比中國多，但至少可以分散市場，只是政府長年對此並不積極，只知將依賴中國的外銷量當成政績宣傳。16年來，台灣連年一直不面對傾銷中國的警示，才讓鳳梨外銷步入</w:t>
      </w:r>
      <w:r>
        <w:rPr>
          <w:rFonts w:hint="eastAsia" w:ascii="標楷體" w:hAnsi="標楷體" w:eastAsia="標楷體" w:cs="新細明體"/>
          <w:kern w:val="0"/>
          <w:sz w:val="26"/>
          <w:szCs w:val="26"/>
        </w:rPr>
        <w:t>注</w:t>
      </w:r>
      <w:r>
        <w:rPr>
          <w:rFonts w:ascii="標楷體" w:hAnsi="標楷體" w:eastAsia="標楷體" w:cs="新細明體"/>
          <w:kern w:val="0"/>
          <w:sz w:val="26"/>
          <w:szCs w:val="26"/>
        </w:rPr>
        <w:t>定被通殺的賭局。</w:t>
      </w:r>
    </w:p>
    <w:p>
      <w:pPr>
        <w:widowControl/>
        <w:rPr>
          <w:rFonts w:ascii="標楷體" w:hAnsi="標楷體" w:eastAsia="標楷體" w:cs="新細明體"/>
          <w:kern w:val="0"/>
          <w:sz w:val="26"/>
          <w:szCs w:val="26"/>
        </w:rPr>
      </w:pPr>
      <w:r>
        <w:rPr>
          <w:rFonts w:hint="eastAsia" w:ascii="標楷體" w:hAnsi="標楷體" w:eastAsia="標楷體" w:cs="新細明體"/>
          <w:kern w:val="0"/>
          <w:sz w:val="26"/>
          <w:szCs w:val="26"/>
        </w:rPr>
        <w:t>以下分成經濟、政治、台灣/中國大陸角度進行分析：</w:t>
      </w:r>
    </w:p>
    <w:p>
      <w:pPr>
        <w:spacing w:line="400" w:lineRule="exact"/>
        <w:ind w:firstLine="1040" w:firstLineChars="200"/>
        <w:jc w:val="center"/>
        <w:rPr>
          <w:rFonts w:ascii="標楷體" w:hAnsi="標楷體" w:eastAsia="標楷體"/>
          <w:sz w:val="52"/>
          <w:szCs w:val="52"/>
        </w:rPr>
      </w:pPr>
    </w:p>
    <w:p>
      <w:pPr>
        <w:spacing w:line="400" w:lineRule="exact"/>
        <w:rPr>
          <w:rFonts w:ascii="標楷體" w:hAnsi="標楷體" w:eastAsia="標楷體"/>
          <w:b/>
          <w:bCs/>
          <w:sz w:val="32"/>
          <w:szCs w:val="32"/>
        </w:rPr>
      </w:pPr>
      <w:r>
        <w:rPr>
          <w:rFonts w:hint="eastAsia" w:ascii="標楷體" w:hAnsi="標楷體" w:eastAsia="標楷體"/>
          <w:b/>
          <w:bCs/>
          <w:sz w:val="32"/>
          <w:szCs w:val="32"/>
        </w:rPr>
        <w:t xml:space="preserve">經濟方面: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首先從數字談起。2015年到2018年，鳳梨出口中國大陸，從2萬1千多公噸成長到3萬1千多公噸，增加一萬多公噸歷時了四年時間；這段期間也是馬政府過度到蔡政府的第一任期年中，穩定的成長確實可以解釋台灣鳳梨在中國大陸消費端站穩一定的腳步。 </w:t>
      </w:r>
    </w:p>
    <w:p>
      <w:pPr>
        <w:spacing w:line="400" w:lineRule="exact"/>
        <w:ind w:firstLine="520" w:firstLineChars="200"/>
        <w:rPr>
          <w:rFonts w:ascii="標楷體" w:hAnsi="標楷體" w:eastAsia="標楷體"/>
          <w:sz w:val="26"/>
          <w:szCs w:val="26"/>
        </w:rPr>
      </w:pPr>
      <w:r>
        <w:rPr>
          <w:rFonts w:ascii="標楷體" w:hAnsi="標楷體" w:eastAsia="標楷體"/>
          <w:kern w:val="2"/>
          <w:sz w:val="26"/>
          <w:szCs w:val="26"/>
          <w:lang w:val="en-US" w:eastAsia="zh-TW" w:bidi="ar-SA"/>
        </w:rPr>
        <w:pict>
          <v:shape id="圖片 4" o:spid="_x0000_s1031" type="#_x0000_t75" style="position:absolute;left:0;margin-top:115.2pt;height:333pt;width:421.2pt;mso-position-horizontal:right;mso-position-horizontal-relative:margin;mso-wrap-distance-left:9pt;mso-wrap-distance-right:9pt;rotation:0f;z-index:-251657216;" o:ole="f" fillcolor="#FFFFFF" filled="f" o:preferrelative="t" stroked="f" coordorigin="0,0" coordsize="21600,21600" wrapcoords="0 0 0 21503 21538 21503 21538 0 0 0">
            <v:fill on="f" color2="#FFFFFF" focus="0%"/>
            <v:imagedata gain="65536f" blacklevel="0f" gamma="0" o:title="" r:id="rId10"/>
            <o:lock v:ext="edit" position="f" selection="f" grouping="f" rotation="f" cropping="f" text="f" aspectratio="t"/>
            <w10:wrap type="tight"/>
          </v:shape>
        </w:pict>
      </w:r>
      <w:r>
        <w:rPr>
          <w:rFonts w:hint="eastAsia" w:ascii="標楷體" w:hAnsi="標楷體" w:eastAsia="標楷體"/>
          <w:sz w:val="26"/>
          <w:szCs w:val="26"/>
        </w:rPr>
        <w:t xml:space="preserve">但令人驚訝的數字是，從2018年至2019年短短一年時間，台灣鳳梨出口中國大陸就暴增2萬公噸，來到5萬公噸的歷史高點，去年受到疫情影響回檔到4萬1千多公噸；這樣的增幅變動，姑且不論這是否為對岸的「養套殺」伎倆，過去二年鳳梨出口爆增卻未能及早預警，甚至將之視為外銷政績，這是首先要檢討之處。 </w:t>
      </w:r>
    </w:p>
    <w:p>
      <w:pPr>
        <w:spacing w:line="400" w:lineRule="exact"/>
        <w:rPr>
          <w:rFonts w:ascii="標楷體" w:hAnsi="標楷體" w:eastAsia="標楷體"/>
          <w:b/>
          <w:bCs/>
          <w:sz w:val="32"/>
          <w:szCs w:val="32"/>
        </w:rPr>
      </w:pPr>
      <w:r>
        <w:rPr>
          <w:rFonts w:hint="eastAsia" w:ascii="標楷體" w:hAnsi="標楷體" w:eastAsia="標楷體"/>
          <w:b/>
          <w:bCs/>
          <w:sz w:val="32"/>
          <w:szCs w:val="32"/>
        </w:rPr>
        <w:t xml:space="preserve">生鮮重時效，地緣、人口讓中國成最最大市場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生鮮農產品的出口，原本就是一件吃力不討好的工作，從產業結構面分析，台灣生鮮蔬果能夠外銷的國家地區有限，在沒有克服「鮮果保鮮期短」的前提下，周邊的港澳、日韓、中國大陸與新加坡（東南亞國家熱帶水果價格低廉，台灣生鮮蔬果並不適合出口）為主要目標市場，次要的包含海空運可達的中東穆斯林國家與美西、加拿大，再遠的歐陸國家已不適宜生鮮蔬果的長途運輸。 </w:t>
      </w:r>
    </w:p>
    <w:p>
      <w:pPr>
        <w:spacing w:line="400" w:lineRule="exact"/>
        <w:ind w:firstLine="520" w:firstLineChars="200"/>
        <w:rPr>
          <w:rFonts w:ascii="標楷體" w:hAnsi="標楷體" w:eastAsia="標楷體"/>
          <w:sz w:val="26"/>
          <w:szCs w:val="26"/>
        </w:rPr>
      </w:pPr>
      <w:r>
        <w:rPr>
          <w:rFonts w:ascii="標楷體" w:hAnsi="標楷體" w:eastAsia="標楷體"/>
          <w:kern w:val="2"/>
          <w:sz w:val="26"/>
          <w:szCs w:val="26"/>
          <w:lang w:val="en-US" w:eastAsia="zh-TW" w:bidi="ar-SA"/>
        </w:rPr>
        <w:pict>
          <v:shape id="圖片 5" o:spid="_x0000_s1032" type="#_x0000_t75" style="position:absolute;left:0;margin-top:66.8pt;height:328.2pt;width:414.6pt;mso-position-horizontal:right;mso-position-horizontal-relative:margin;mso-wrap-distance-left:9pt;mso-wrap-distance-right:9pt;rotation:0f;z-index:-251656192;" o:ole="f" fillcolor="#FFFFFF" filled="f" o:preferrelative="t" stroked="f" coordorigin="0,0" coordsize="21600,21600" wrapcoords="0 0 0 21521 21491 21521 21491 0 0 0">
            <v:fill on="f" color2="#FFFFFF" focus="0%"/>
            <v:imagedata gain="65536f" blacklevel="0f" gamma="0" o:title="" r:id="rId11"/>
            <o:lock v:ext="edit" position="f" selection="f" grouping="f" rotation="f" cropping="f" text="f" aspectratio="t"/>
            <w10:wrap type="tight"/>
          </v:shape>
        </w:pict>
      </w:r>
      <w:r>
        <w:rPr>
          <w:rFonts w:hint="eastAsia" w:ascii="標楷體" w:hAnsi="標楷體" w:eastAsia="標楷體"/>
          <w:sz w:val="26"/>
          <w:szCs w:val="26"/>
        </w:rPr>
        <w:t xml:space="preserve">也就是說，中國大陸人口基數大，結構上一定是主要最大市場。但如何不讓「最大市場成為過度依賴市場」確實不是一件容易的工程。 </w:t>
      </w:r>
    </w:p>
    <w:p>
      <w:pPr>
        <w:spacing w:line="400" w:lineRule="exact"/>
        <w:rPr>
          <w:rFonts w:ascii="標楷體" w:hAnsi="標楷體" w:eastAsia="標楷體"/>
          <w:b/>
          <w:bCs/>
          <w:sz w:val="32"/>
          <w:szCs w:val="32"/>
        </w:rPr>
      </w:pPr>
      <w:r>
        <w:rPr>
          <w:rFonts w:hint="eastAsia" w:ascii="標楷體" w:hAnsi="標楷體" w:eastAsia="標楷體"/>
          <w:b/>
          <w:bCs/>
          <w:sz w:val="32"/>
          <w:szCs w:val="32"/>
        </w:rPr>
        <w:t xml:space="preserve">蔡政府組農業國家隊，意圖打破困境，效果有待加強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小英政府在2016年換黨執政後，為了扭轉前朝馬政府過度傾中的兩岸農業貿易往來，組成了「農業國家隊」意圖打破上述的困境，加大對日本與新加坡、中東國家的農產品出口力道；持平而論，短短四年下來不能說沒有成績，但未來該如何找到破口，國家隊肩頭責任不可謂不大。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有一點是永遠不嫌遲的工作，就是結合最大資源於目標市場打「團體戰」，並集中火力於「行銷」而非「銷售」，必須要砸大錢在目標市場廣為宣傳，市場消費者才會心甘情願消費，並養成消費習慣之後，穩定產品的供應；如果只注重短期間內的「出口量」數字高低，這對台灣農產品出口並不是一個健康正確的態度。至於農產品的國際行銷宣傳，日、韓兩國成功案例太多太多，在此也就不再一一贅述。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目前台灣水果外銷，無論去日本、美國、加拿大、土耳其，幾乎都是賣給當地華人，並沒有真正打進去該國人的市場，而台灣對國外市場的開拓仍流於炒短線，例如：東京食品展、遇到疫情、輸中被禁就大發補助，這些方式並不是長遠之計。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以日本市場為例，台灣想把芒果、棗子推到日本，但光靠少數貿易商單打獨鬥力道有限，近年銷日芒果僅停留在4、5百公噸，棗子近年開始嘗試，但是市場仍僅限於在日本的台灣人或華僑，目前也僅只於一年15公噸之譜，若不能聚焦著力，恐難真正做出成績。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順這樣的思路，我們更應清楚認知，生鮮農產品的出口，原本就是一件吃力不討好的工作；從貿易統計數字看，台灣農產品出口產值排名在前的是冷凍水產（為遠洋漁業非國內生產）、穀類製品、生鮮冷藏水果、皮革、羽毛、花卉及冷凍蔬菜（主要為銷日毛豆）等，中國大陸市場貢獻很大，拉抬了水果輸出的占比額度。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但實際情況是台灣水果整體輸出值看似美好，但卻找不到一個單一「水果旗艦級商品」可以排入前十大，再次證明了生鮮水果產品附加價值提升的重要性。 </w:t>
      </w:r>
    </w:p>
    <w:p>
      <w:pPr>
        <w:spacing w:line="400" w:lineRule="exact"/>
        <w:ind w:firstLine="560" w:firstLineChars="200"/>
        <w:rPr>
          <w:rFonts w:ascii="標楷體" w:hAnsi="標楷體" w:eastAsia="標楷體"/>
          <w:sz w:val="28"/>
          <w:szCs w:val="24"/>
        </w:rPr>
      </w:pPr>
    </w:p>
    <w:p>
      <w:pPr>
        <w:spacing w:line="400" w:lineRule="exact"/>
        <w:rPr>
          <w:rFonts w:ascii="標楷體" w:hAnsi="標楷體" w:eastAsia="標楷體"/>
          <w:b/>
          <w:bCs/>
          <w:sz w:val="32"/>
          <w:szCs w:val="32"/>
        </w:rPr>
      </w:pPr>
      <w:r>
        <w:rPr>
          <w:rFonts w:hint="eastAsia" w:ascii="標楷體" w:hAnsi="標楷體" w:eastAsia="標楷體"/>
          <w:b/>
          <w:bCs/>
          <w:sz w:val="32"/>
          <w:szCs w:val="32"/>
        </w:rPr>
        <w:t xml:space="preserve">政治方面: </w:t>
      </w:r>
    </w:p>
    <w:p>
      <w:pPr>
        <w:spacing w:line="400" w:lineRule="exact"/>
        <w:rPr>
          <w:rFonts w:ascii="標楷體" w:hAnsi="標楷體" w:eastAsia="標楷體"/>
          <w:b/>
          <w:bCs/>
          <w:sz w:val="32"/>
          <w:szCs w:val="32"/>
        </w:rPr>
      </w:pPr>
      <w:r>
        <w:rPr>
          <w:rFonts w:hint="eastAsia" w:ascii="標楷體" w:hAnsi="標楷體" w:eastAsia="標楷體"/>
          <w:b/>
          <w:bCs/>
          <w:sz w:val="32"/>
          <w:szCs w:val="32"/>
        </w:rPr>
        <w:t xml:space="preserve">兩岸都將農產銷售視為政治談判祭品，核心品質並未建立 </w:t>
      </w:r>
    </w:p>
    <w:p>
      <w:pPr>
        <w:spacing w:line="400" w:lineRule="exact"/>
        <w:rPr>
          <w:rFonts w:ascii="標楷體" w:hAnsi="標楷體" w:eastAsia="標楷體"/>
          <w:b/>
          <w:bCs/>
          <w:sz w:val="28"/>
          <w:szCs w:val="24"/>
        </w:rPr>
      </w:pPr>
    </w:p>
    <w:p>
      <w:pPr>
        <w:spacing w:line="400" w:lineRule="exact"/>
        <w:rPr>
          <w:rFonts w:ascii="標楷體" w:hAnsi="標楷體" w:eastAsia="標楷體"/>
          <w:b/>
          <w:sz w:val="32"/>
          <w:szCs w:val="28"/>
        </w:rPr>
      </w:pPr>
      <w:r>
        <w:rPr>
          <w:rFonts w:hint="eastAsia" w:ascii="標楷體" w:hAnsi="標楷體" w:eastAsia="標楷體"/>
          <w:b/>
          <w:sz w:val="32"/>
          <w:szCs w:val="28"/>
        </w:rPr>
        <w:t>台灣角度:</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從農民角度看來，此次鳳梨風暴中，兩岸政府、藍綠兩黨都該好好反思，為何農民的利益一再被政治操作？國內政黨政客，拿農民選票綁架農業政策不知凡幾，兩岸之間把農產品當成政治談判的祭品，更是罄竹難書；面對外部因素造成的農產品產銷失衡，在第一時間端出補助政策之餘，相信農民更希望看到的是一個長治久安的良方，而非急就章式灑幣。 </w:t>
      </w:r>
    </w:p>
    <w:p>
      <w:pPr>
        <w:spacing w:line="400" w:lineRule="exact"/>
        <w:ind w:firstLine="520" w:firstLineChars="200"/>
        <w:rPr>
          <w:rFonts w:ascii="標楷體" w:hAnsi="標楷體" w:eastAsia="標楷體"/>
          <w:sz w:val="28"/>
          <w:szCs w:val="24"/>
        </w:rPr>
      </w:pPr>
      <w:r>
        <w:rPr>
          <w:rFonts w:hint="eastAsia" w:ascii="標楷體" w:hAnsi="標楷體" w:eastAsia="標楷體"/>
          <w:sz w:val="26"/>
          <w:szCs w:val="26"/>
        </w:rPr>
        <w:t>而中共官方應檢討的是，每每拿台灣農民的心血「開刀」，好的時候大肆採購，不好的時候就中斷進口；台灣內部同樣也該虛心檢討，如何系統性地從源頭生產端精準掌控農產品產量與質量，方能面對層出不窮的外部挑戰與變化。</w:t>
      </w:r>
      <w:r>
        <w:rPr>
          <w:rFonts w:hint="eastAsia" w:ascii="標楷體" w:hAnsi="標楷體" w:eastAsia="標楷體"/>
          <w:sz w:val="28"/>
          <w:szCs w:val="24"/>
        </w:rPr>
        <w:t xml:space="preserve"> </w:t>
      </w:r>
    </w:p>
    <w:p>
      <w:pPr>
        <w:spacing w:line="400" w:lineRule="exact"/>
        <w:rPr>
          <w:rFonts w:ascii="標楷體" w:hAnsi="標楷體" w:eastAsia="標楷體"/>
          <w:sz w:val="28"/>
          <w:szCs w:val="24"/>
        </w:rPr>
      </w:pPr>
      <w:r>
        <w:rPr>
          <w:rFonts w:ascii="標楷體" w:hAnsi="標楷體" w:eastAsia="標楷體"/>
          <w:kern w:val="2"/>
          <w:sz w:val="28"/>
          <w:szCs w:val="24"/>
          <w:lang w:val="en-US" w:eastAsia="zh-TW" w:bidi="ar-SA"/>
        </w:rPr>
        <w:pict>
          <v:shape id="圖片 8" o:spid="_x0000_s1033" type="#_x0000_t75" style="position:absolute;left:0;margin-top:0pt;height:519pt;width:415.2pt;mso-position-horizontal:left;mso-position-horizontal-relative:margin;mso-wrap-distance-left:9pt;mso-wrap-distance-right:9pt;rotation:0f;z-index:-251654144;" o:ole="f" fillcolor="#FFFFFF" filled="f" o:preferrelative="t" stroked="f" coordorigin="0,0" coordsize="21600,21600" wrapcoords="0 0 0 21538 21538 21538 21538 0 0 0">
            <v:fill on="f" color2="#FFFFFF" focus="0%"/>
            <v:imagedata gain="65536f" blacklevel="0f" gamma="0" o:title="" r:id="rId12"/>
            <o:lock v:ext="edit" position="f" selection="f" grouping="f" rotation="f" cropping="f" text="f" aspectratio="t"/>
            <w10:wrap type="tight"/>
          </v:shape>
        </w:pict>
      </w:r>
    </w:p>
    <w:p>
      <w:pPr>
        <w:spacing w:line="400" w:lineRule="exact"/>
        <w:rPr>
          <w:rFonts w:ascii="標楷體" w:hAnsi="標楷體" w:eastAsia="標楷體"/>
          <w:b/>
          <w:sz w:val="32"/>
          <w:szCs w:val="28"/>
        </w:rPr>
      </w:pPr>
      <w:r>
        <w:rPr>
          <w:rFonts w:hint="eastAsia" w:ascii="標楷體" w:hAnsi="標楷體" w:eastAsia="標楷體"/>
          <w:b/>
          <w:sz w:val="32"/>
          <w:szCs w:val="28"/>
        </w:rPr>
        <w:t>中國角度:</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中國突然宣布禁止台灣鳳梨外銷中國，原因是檢驗出三種介殼蟲，但台灣出口的查驗率，是13/6200批，換算下來合格率高達99.79%，遠高於國際標準。</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從中國的討論看來，鳳梨外銷真的是政治議題，甚至帶「報復性」目的，也是從2004年連戰登陸中國以來，「水果統一戰線」破局的徵兆。</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「水果統一戰線」最直接意思是：中國希望用農產品採購，拉攏民進黨的票源——台灣中南部農工階級。</w:t>
      </w:r>
    </w:p>
    <w:p>
      <w:pPr>
        <w:spacing w:line="400" w:lineRule="exact"/>
        <w:ind w:firstLine="520" w:firstLineChars="200"/>
        <w:rPr>
          <w:rFonts w:ascii="標楷體" w:hAnsi="標楷體" w:eastAsia="標楷體"/>
          <w:sz w:val="26"/>
          <w:szCs w:val="26"/>
        </w:rPr>
      </w:pPr>
      <w:r>
        <w:rPr>
          <w:rFonts w:ascii="標楷體" w:hAnsi="標楷體" w:eastAsia="標楷體"/>
          <w:kern w:val="2"/>
          <w:sz w:val="26"/>
          <w:szCs w:val="26"/>
          <w:lang w:val="en-US" w:eastAsia="zh-TW" w:bidi="ar-SA"/>
        </w:rPr>
        <w:pict>
          <v:shape id="圖片 7" o:spid="_x0000_s1034" type="#_x0000_t75" style="position:absolute;left:0;margin-top:127.8pt;height:276pt;width:415.2pt;mso-position-horizontal:right;mso-position-horizontal-relative:margin;mso-wrap-distance-left:9pt;mso-wrap-distance-right:9pt;rotation:0f;z-index:-251655168;" o:ole="f" fillcolor="#FFFFFF" filled="f" o:preferrelative="t" stroked="f" coordorigin="0,0" coordsize="21600,21600" wrapcoords="0 0 0 21483 21538 21483 21538 0 0 0">
            <v:fill on="f" color2="#FFFFFF" focus="0%"/>
            <v:imagedata gain="65536f" blacklevel="0f" gamma="0" o:title="" r:id="rId13"/>
            <o:lock v:ext="edit" position="f" selection="f" grouping="f" rotation="f" cropping="f" text="f" aspectratio="t"/>
            <w10:wrap type="tight"/>
          </v:shape>
        </w:pict>
      </w:r>
      <w:r>
        <w:rPr>
          <w:rFonts w:hint="eastAsia" w:ascii="標楷體" w:hAnsi="標楷體" w:eastAsia="標楷體"/>
          <w:sz w:val="26"/>
          <w:szCs w:val="26"/>
        </w:rPr>
        <w:t xml:space="preserve">有貿易商直言，中國制訂明確的輸入果品的藥檢規範，但在「兩岸政治紅利期間」就未嚴格檢驗，同時，台灣對銷日水果有嚴格要求，對輸中水果品管寬鬆，長期下來養成農民認為「銷日很嚴格麻煩，乾脆賣給中國就好」，導致高規格的外銷水果數量難提高，最後變成外銷果品兩極化，一旦中方片面退單，這些農產品也難以轉往他國銷售。 </w:t>
      </w:r>
    </w:p>
    <w:p>
      <w:pPr>
        <w:spacing w:line="400" w:lineRule="exact"/>
        <w:rPr>
          <w:rFonts w:ascii="標楷體" w:hAnsi="標楷體" w:eastAsia="標楷體"/>
          <w:b/>
          <w:bCs/>
          <w:sz w:val="32"/>
          <w:szCs w:val="32"/>
        </w:rPr>
      </w:pPr>
      <w:r>
        <w:rPr>
          <w:rFonts w:hint="eastAsia" w:ascii="標楷體" w:hAnsi="標楷體" w:eastAsia="標楷體"/>
          <w:b/>
          <w:bCs/>
          <w:sz w:val="32"/>
          <w:szCs w:val="32"/>
        </w:rPr>
        <w:t xml:space="preserve">政府的手要放在適當的位子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台灣水果出口存在很多老問題：缺乏統一的出口規範、產品價格波動過大、市場通路開拓困難以及補助急就章；原因出在政策能否「全然接受市場機制」？政府的手要「伸多長」？放眼全球，農產品貿易政府必然有角色，所以農產品進出口就很難遵循100%的市場機制；但也因政府的手在裡面，久而久之大家就習慣「最後政府會解決」。 </w:t>
      </w:r>
    </w:p>
    <w:p>
      <w:pPr>
        <w:spacing w:line="400" w:lineRule="exact"/>
        <w:ind w:firstLine="520" w:firstLineChars="200"/>
        <w:rPr>
          <w:rFonts w:ascii="標楷體" w:hAnsi="標楷體" w:eastAsia="標楷體"/>
          <w:sz w:val="26"/>
          <w:szCs w:val="26"/>
        </w:rPr>
      </w:pPr>
      <w:r>
        <w:rPr>
          <w:rFonts w:hint="eastAsia" w:ascii="標楷體" w:hAnsi="標楷體" w:eastAsia="標楷體"/>
          <w:sz w:val="26"/>
          <w:szCs w:val="26"/>
        </w:rPr>
        <w:t xml:space="preserve">其實，提升產品的國際市場競爭力才是王道，政府能做的是從旁協助排除不必要的貿易障礙，以及在國際談判上創造更多有利於我方的市場經營空間，以國家隊協助整體行銷力道；然而生意風險，最終仍要農方、貿易商自行承擔。 </w:t>
      </w:r>
    </w:p>
    <w:p>
      <w:pPr>
        <w:widowControl/>
        <w:rPr>
          <w:rFonts w:ascii="標楷體" w:hAnsi="標楷體" w:eastAsia="標楷體"/>
          <w:sz w:val="26"/>
          <w:szCs w:val="26"/>
        </w:rPr>
      </w:pPr>
    </w:p>
    <w:p>
      <w:pPr>
        <w:widowControl/>
        <w:rPr>
          <w:rFonts w:ascii="標楷體" w:hAnsi="標楷體" w:eastAsia="標楷體"/>
          <w:sz w:val="26"/>
          <w:szCs w:val="26"/>
        </w:rPr>
      </w:pPr>
    </w:p>
    <w:p>
      <w:pPr>
        <w:widowControl/>
        <w:rPr>
          <w:rFonts w:ascii="標楷體" w:hAnsi="標楷體" w:eastAsia="標楷體"/>
          <w:b/>
          <w:bCs/>
          <w:sz w:val="34"/>
          <w:szCs w:val="34"/>
        </w:rPr>
      </w:pPr>
      <w:r>
        <w:rPr>
          <w:rFonts w:hint="eastAsia" w:ascii="標楷體" w:hAnsi="標楷體" w:eastAsia="標楷體"/>
          <w:b/>
          <w:bCs/>
          <w:sz w:val="34"/>
          <w:szCs w:val="34"/>
        </w:rPr>
        <w:t>蛛網模型（Cobweb model)</w:t>
      </w:r>
    </w:p>
    <w:p>
      <w:pPr>
        <w:rPr>
          <w:sz w:val="26"/>
          <w:szCs w:val="26"/>
        </w:rPr>
      </w:pPr>
      <w:r>
        <w:rPr>
          <w:rFonts w:ascii="Calibri" w:hAnsi="Calibri"/>
          <w:kern w:val="2"/>
          <w:sz w:val="26"/>
          <w:szCs w:val="26"/>
          <w:lang w:val="en-US" w:eastAsia="zh-TW" w:bidi="ar-SA"/>
        </w:rPr>
        <w:pict>
          <v:shape id="圖片框 1034" o:spid="_x0000_s1035" type="#_x0000_t75" style="height:196.3pt;width:277.8pt;rotation:0f;" o:ole="f" fillcolor="#FFFFFF" filled="f" o:preferrelative="t" stroked="f" coordorigin="0,0" coordsize="21600,21600">
            <v:fill on="f" color2="#FFFFFF" focus="0%"/>
            <v:imagedata cropleft="12455f" cropright="24387f" cropbottom="50329f" gain="65536f" blacklevel="0f" gamma="0" o:title="" r:id="rId14"/>
            <o:lock v:ext="edit" position="f" selection="f" grouping="f" rotation="f" cropping="f" text="f" aspectratio="t"/>
            <w10:wrap type="none"/>
            <w10:anchorlock/>
          </v:shape>
        </w:pict>
      </w:r>
    </w:p>
    <w:p>
      <w:pPr>
        <w:rPr>
          <w:rFonts w:ascii="標楷體" w:hAnsi="標楷體" w:eastAsia="標楷體"/>
          <w:sz w:val="26"/>
          <w:szCs w:val="26"/>
        </w:rPr>
      </w:pPr>
      <w:r>
        <w:rPr>
          <w:rFonts w:hint="eastAsia" w:ascii="標楷體" w:hAnsi="標楷體" w:eastAsia="標楷體"/>
          <w:sz w:val="26"/>
          <w:szCs w:val="26"/>
        </w:rPr>
        <w:t xml:space="preserve"> </w:t>
      </w:r>
      <w:r>
        <w:rPr>
          <w:rFonts w:ascii="標楷體" w:hAnsi="標楷體" w:eastAsia="標楷體"/>
          <w:sz w:val="26"/>
          <w:szCs w:val="26"/>
        </w:rPr>
        <w:t xml:space="preserve">  (c&gt;0 , d&gt;0)   </w:t>
      </w:r>
      <w:r>
        <w:rPr>
          <w:rFonts w:hint="eastAsia" w:ascii="標楷體" w:hAnsi="標楷體" w:eastAsia="標楷體"/>
          <w:sz w:val="26"/>
          <w:szCs w:val="26"/>
        </w:rPr>
        <w:t>(2A-1)</w:t>
      </w:r>
    </w:p>
    <w:p>
      <w:pPr>
        <w:rPr>
          <w:rFonts w:ascii="標楷體" w:hAnsi="標楷體" w:eastAsia="標楷體"/>
          <w:sz w:val="26"/>
          <w:szCs w:val="26"/>
        </w:rPr>
      </w:pPr>
      <w:r>
        <w:rPr>
          <w:rFonts w:hint="eastAsia" w:ascii="標楷體" w:hAnsi="標楷體" w:eastAsia="標楷體"/>
          <w:sz w:val="26"/>
          <w:szCs w:val="26"/>
        </w:rPr>
        <w:t xml:space="preserve"> </w:t>
      </w:r>
      <w:r>
        <w:rPr>
          <w:rFonts w:ascii="標楷體" w:hAnsi="標楷體" w:eastAsia="標楷體"/>
          <w:sz w:val="26"/>
          <w:szCs w:val="26"/>
        </w:rPr>
        <w:t xml:space="preserve">  (a&gt;0, b&gt;0)   </w:t>
      </w:r>
      <w:r>
        <w:rPr>
          <w:rFonts w:hint="eastAsia" w:ascii="標楷體" w:hAnsi="標楷體" w:eastAsia="標楷體"/>
          <w:sz w:val="26"/>
          <w:szCs w:val="26"/>
        </w:rPr>
        <w:t>(2A-</w:t>
      </w:r>
      <w:r>
        <w:rPr>
          <w:rFonts w:ascii="標楷體" w:hAnsi="標楷體" w:eastAsia="標楷體"/>
          <w:sz w:val="26"/>
          <w:szCs w:val="26"/>
        </w:rPr>
        <w:t>2</w:t>
      </w:r>
      <w:r>
        <w:rPr>
          <w:rFonts w:hint="eastAsia" w:ascii="標楷體" w:hAnsi="標楷體" w:eastAsia="標楷體"/>
          <w:sz w:val="26"/>
          <w:szCs w:val="26"/>
        </w:rPr>
        <w:t>)</w:t>
      </w:r>
      <w:r>
        <w:rPr>
          <w:rFonts w:ascii="標楷體" w:hAnsi="標楷體" w:eastAsia="標楷體"/>
          <w:sz w:val="26"/>
          <w:szCs w:val="26"/>
        </w:rPr>
        <w:t xml:space="preserve">  </w:t>
      </w:r>
    </w:p>
    <w:p>
      <w:pPr>
        <w:jc w:val="both"/>
        <w:rPr>
          <w:rFonts w:ascii="標楷體" w:hAnsi="標楷體" w:eastAsia="標楷體"/>
          <w:sz w:val="26"/>
          <w:szCs w:val="26"/>
        </w:rPr>
      </w:pPr>
      <w:r>
        <w:rPr>
          <w:rFonts w:hint="eastAsia" w:ascii="標楷體" w:hAnsi="標楷體" w:eastAsia="標楷體"/>
          <w:sz w:val="26"/>
          <w:szCs w:val="26"/>
        </w:rPr>
        <w:t xml:space="preserve"> </w:t>
      </w:r>
      <w:r>
        <w:rPr>
          <w:rFonts w:ascii="標楷體" w:hAnsi="標楷體" w:eastAsia="標楷體"/>
          <w:sz w:val="26"/>
          <w:szCs w:val="26"/>
        </w:rPr>
        <w:t xml:space="preserve">   </w:t>
      </w:r>
      <w:r>
        <w:rPr>
          <w:rFonts w:hint="eastAsia" w:ascii="標楷體" w:hAnsi="標楷體" w:eastAsia="標楷體"/>
          <w:sz w:val="26"/>
          <w:szCs w:val="26"/>
        </w:rPr>
        <w:t>(2A-</w:t>
      </w:r>
      <w:r>
        <w:rPr>
          <w:rFonts w:ascii="標楷體" w:hAnsi="標楷體" w:eastAsia="標楷體"/>
          <w:sz w:val="26"/>
          <w:szCs w:val="26"/>
        </w:rPr>
        <w:t>3</w:t>
      </w:r>
      <w:r>
        <w:rPr>
          <w:rFonts w:hint="eastAsia" w:ascii="標楷體" w:hAnsi="標楷體" w:eastAsia="標楷體"/>
          <w:sz w:val="26"/>
          <w:szCs w:val="26"/>
        </w:rPr>
        <w:t>)</w:t>
      </w:r>
    </w:p>
    <w:p>
      <w:pPr>
        <w:rPr>
          <w:rFonts w:ascii="標楷體" w:hAnsi="標楷體" w:eastAsia="標楷體"/>
          <w:sz w:val="26"/>
          <w:szCs w:val="26"/>
        </w:rPr>
      </w:pPr>
      <w:r>
        <w:rPr>
          <w:rFonts w:hint="eastAsia" w:ascii="標楷體" w:hAnsi="標楷體" w:eastAsia="標楷體"/>
          <w:sz w:val="26"/>
          <w:szCs w:val="26"/>
        </w:rPr>
        <w:t>將(2A-1)、(2A-2)代入(2A-3)式</w:t>
      </w:r>
    </w:p>
    <w:p>
      <w:pPr>
        <w:rPr>
          <w:rFonts w:ascii="標楷體" w:hAnsi="標楷體" w:eastAsia="標楷體"/>
          <w:sz w:val="26"/>
          <w:szCs w:val="26"/>
        </w:rPr>
      </w:pPr>
    </w:p>
    <w:p>
      <w:pPr>
        <w:rPr>
          <w:rFonts w:ascii="標楷體" w:hAnsi="標楷體" w:eastAsia="標楷體"/>
          <w:sz w:val="26"/>
          <w:szCs w:val="26"/>
        </w:rPr>
      </w:pPr>
      <w:r>
        <w:rPr>
          <w:rFonts w:hint="eastAsia" w:ascii="標楷體" w:hAnsi="標楷體" w:eastAsia="標楷體"/>
          <w:sz w:val="26"/>
          <w:szCs w:val="26"/>
        </w:rPr>
        <w:t xml:space="preserve">可得: </w:t>
      </w:r>
      <w:r>
        <w:rPr>
          <w:rFonts w:ascii="標楷體" w:hAnsi="標楷體" w:eastAsia="標楷體"/>
          <w:sz w:val="26"/>
          <w:szCs w:val="26"/>
        </w:rPr>
        <w:t xml:space="preserve">    </w:t>
      </w:r>
      <w:r>
        <w:rPr>
          <w:rFonts w:hint="eastAsia" w:ascii="標楷體" w:hAnsi="標楷體" w:eastAsia="標楷體"/>
          <w:sz w:val="26"/>
          <w:szCs w:val="26"/>
        </w:rPr>
        <w:t>(2A-</w:t>
      </w:r>
      <w:r>
        <w:rPr>
          <w:rFonts w:ascii="標楷體" w:hAnsi="標楷體" w:eastAsia="標楷體"/>
          <w:sz w:val="26"/>
          <w:szCs w:val="26"/>
        </w:rPr>
        <w:t>4</w:t>
      </w:r>
      <w:r>
        <w:rPr>
          <w:rFonts w:hint="eastAsia" w:ascii="標楷體" w:hAnsi="標楷體" w:eastAsia="標楷體"/>
          <w:sz w:val="26"/>
          <w:szCs w:val="26"/>
        </w:rPr>
        <w:t>)</w:t>
      </w:r>
    </w:p>
    <w:p>
      <w:pPr>
        <w:rPr>
          <w:rFonts w:ascii="標楷體" w:hAnsi="標楷體" w:eastAsia="標楷體"/>
          <w:sz w:val="26"/>
          <w:szCs w:val="26"/>
        </w:rPr>
      </w:pPr>
    </w:p>
    <w:p>
      <w:pPr>
        <w:pStyle w:val="11"/>
        <w:ind w:left="360" w:leftChars="0"/>
        <w:rPr>
          <w:rFonts w:ascii="標楷體" w:hAnsi="標楷體" w:eastAsia="標楷體"/>
          <w:sz w:val="26"/>
          <w:szCs w:val="26"/>
        </w:rPr>
      </w:pPr>
      <w:r>
        <w:rPr>
          <w:rFonts w:hint="eastAsia" w:ascii="標楷體" w:hAnsi="標楷體" w:eastAsia="標楷體"/>
          <w:sz w:val="26"/>
          <w:szCs w:val="26"/>
        </w:rPr>
        <w:t>利用反覆代入法</w:t>
      </w:r>
    </w:p>
    <w:p>
      <w:pPr>
        <w:rPr>
          <w:rFonts w:ascii="標楷體" w:hAnsi="標楷體" w:eastAsia="標楷體"/>
          <w:sz w:val="26"/>
          <w:szCs w:val="26"/>
        </w:rPr>
      </w:pPr>
      <w:r>
        <w:rPr>
          <w:rFonts w:hint="eastAsia" w:ascii="標楷體" w:hAnsi="標楷體" w:eastAsia="標楷體"/>
          <w:sz w:val="26"/>
          <w:szCs w:val="26"/>
        </w:rPr>
        <w:t>可推得:</w:t>
      </w:r>
    </w:p>
    <w:p>
      <w:pPr>
        <w:rPr>
          <w:rFonts w:ascii="標楷體" w:hAnsi="標楷體" w:eastAsia="標楷體"/>
          <w:sz w:val="26"/>
          <w:szCs w:val="26"/>
        </w:rPr>
      </w:pPr>
    </w:p>
    <w:p>
      <w:pPr>
        <w:rPr>
          <w:rFonts w:ascii="標楷體" w:hAnsi="標楷體" w:eastAsia="標楷體"/>
          <w:sz w:val="26"/>
          <w:szCs w:val="26"/>
        </w:rPr>
      </w:pPr>
    </w:p>
    <w:p>
      <w:pPr>
        <w:rPr>
          <w:rFonts w:ascii="標楷體" w:hAnsi="標楷體" w:eastAsia="標楷體"/>
          <w:sz w:val="26"/>
          <w:szCs w:val="26"/>
        </w:rPr>
      </w:pPr>
      <w:r>
        <w:rPr>
          <w:rFonts w:hint="eastAsia" w:ascii="標楷體" w:hAnsi="標楷體" w:eastAsia="標楷體"/>
          <w:sz w:val="26"/>
          <w:szCs w:val="26"/>
        </w:rPr>
        <w:t xml:space="preserve">故 </w:t>
      </w:r>
      <w:r>
        <w:rPr>
          <w:rFonts w:ascii="標楷體" w:hAnsi="標楷體" w:eastAsia="標楷體"/>
          <w:sz w:val="26"/>
          <w:szCs w:val="26"/>
        </w:rPr>
        <w:t xml:space="preserve"> (2A-5)</w:t>
      </w:r>
    </w:p>
    <w:p>
      <w:pPr>
        <w:rPr>
          <w:rFonts w:ascii="標楷體" w:hAnsi="標楷體" w:eastAsia="標楷體"/>
          <w:sz w:val="26"/>
          <w:szCs w:val="26"/>
        </w:rPr>
      </w:pPr>
    </w:p>
    <w:p>
      <w:pPr>
        <w:rPr>
          <w:rFonts w:ascii="標楷體" w:hAnsi="標楷體" w:eastAsia="標楷體"/>
          <w:sz w:val="26"/>
          <w:szCs w:val="26"/>
        </w:rPr>
      </w:pPr>
      <w:r>
        <w:rPr>
          <w:rFonts w:hint="eastAsia" w:ascii="標楷體" w:hAnsi="標楷體" w:eastAsia="標楷體"/>
          <w:sz w:val="26"/>
          <w:szCs w:val="26"/>
        </w:rPr>
        <w:t>體系長期均衡條件=</w:t>
      </w:r>
    </w:p>
    <w:p>
      <w:pPr>
        <w:rPr>
          <w:rFonts w:ascii="標楷體" w:hAnsi="標楷體" w:eastAsia="標楷體"/>
          <w:sz w:val="26"/>
          <w:szCs w:val="26"/>
        </w:rPr>
      </w:pPr>
      <w:r>
        <w:rPr>
          <w:rFonts w:hint="eastAsia" w:ascii="標楷體" w:hAnsi="標楷體" w:eastAsia="標楷體"/>
          <w:sz w:val="26"/>
          <w:szCs w:val="26"/>
        </w:rPr>
        <w:t xml:space="preserve">代入(2A-4)   </w:t>
      </w:r>
      <w:r>
        <w:rPr>
          <w:rFonts w:ascii="標楷體" w:hAnsi="標楷體" w:eastAsia="標楷體"/>
          <w:sz w:val="26"/>
          <w:szCs w:val="26"/>
        </w:rPr>
        <w:t xml:space="preserve">  (</w:t>
      </w:r>
      <w:r>
        <w:rPr>
          <w:rFonts w:hint="eastAsia" w:ascii="標楷體" w:hAnsi="標楷體" w:eastAsia="標楷體"/>
          <w:sz w:val="26"/>
          <w:szCs w:val="26"/>
        </w:rPr>
        <w:t>為長期均衡</w:t>
      </w:r>
      <w:r>
        <w:rPr>
          <w:rFonts w:ascii="標楷體" w:hAnsi="標楷體" w:eastAsia="標楷體"/>
          <w:sz w:val="26"/>
          <w:szCs w:val="26"/>
        </w:rPr>
        <w:t>)</w:t>
      </w:r>
    </w:p>
    <w:p>
      <w:pPr>
        <w:rPr>
          <w:rFonts w:ascii="標楷體" w:hAnsi="標楷體" w:eastAsia="標楷體"/>
          <w:sz w:val="26"/>
          <w:szCs w:val="26"/>
        </w:rPr>
      </w:pPr>
      <w:r>
        <w:rPr>
          <w:rFonts w:hint="eastAsia" w:ascii="標楷體" w:hAnsi="標楷體" w:eastAsia="標楷體"/>
          <w:sz w:val="26"/>
          <w:szCs w:val="26"/>
        </w:rPr>
        <w:t>代入(2A-5)</w:t>
      </w:r>
    </w:p>
    <w:p>
      <w:pPr>
        <w:rPr>
          <w:rFonts w:ascii="標楷體" w:hAnsi="標楷體" w:eastAsia="標楷體"/>
          <w:sz w:val="26"/>
          <w:szCs w:val="26"/>
        </w:rPr>
      </w:pPr>
      <w:r>
        <w:rPr>
          <w:rFonts w:hint="eastAsia" w:ascii="標楷體" w:hAnsi="標楷體" w:eastAsia="標楷體"/>
          <w:sz w:val="26"/>
          <w:szCs w:val="26"/>
        </w:rPr>
        <w:t xml:space="preserve">    蛛網模型運用彈性原理解釋某些生產周期較長的商品在失去均衡時發生的不同波動情況的一種動態分析理論。蛛網模型分析了商品的產量和價格波動的三種情況。</w:t>
      </w:r>
    </w:p>
    <w:p>
      <w:pPr>
        <w:rPr>
          <w:rFonts w:ascii="標楷體" w:hAnsi="標楷體" w:eastAsia="標楷體"/>
          <w:sz w:val="26"/>
          <w:szCs w:val="26"/>
        </w:rPr>
      </w:pPr>
      <w:r>
        <w:rPr>
          <w:rFonts w:hint="eastAsia" w:ascii="標楷體" w:hAnsi="標楷體" w:eastAsia="標楷體"/>
          <w:sz w:val="26"/>
          <w:szCs w:val="26"/>
        </w:rPr>
        <w:t xml:space="preserve">    從圖中可以看到，只有當供給曲線斜率的絕對值大於需求曲線斜率的絕對值時，即供給曲線比需求曲線較為陡峭時，才能得到蛛網穩定的結果，相應的蛛網被稱為“收斂型蛛網”。西方經濟學家認為，蛛網模型解釋了某些生產周期較長的商品的產量和價格的波動的情況，是一個有意義的動態分析模型。但是，這個模型還是一個很簡單的和有缺陷的模型。這是因為，根據該模型分析，造成產量和價格波動的主要原因是：生產者總是根據上一期的價格來決定下一期的產量，這樣上一期的價格同時也就是生產者對下一期的預期價格。而事實上，在每一期生產者只能按照本期的市場價格來出售由預期價格(即上一期價格)所決定的產量。這種實際價格和預期的價格不吻合，造成了產量和價格的波動。但是這種解釋是不全面的。因為生產者從自己的經驗中。會逐步修正自己的預期價格，使預期價格接近實際價格，從而使實際產量接近市場的實際需求量。</w:t>
      </w:r>
    </w:p>
    <w:p>
      <w:pPr>
        <w:rPr>
          <w:rFonts w:ascii="標楷體" w:hAnsi="標楷體" w:eastAsia="標楷體"/>
          <w:b/>
          <w:bCs/>
          <w:sz w:val="32"/>
          <w:szCs w:val="32"/>
        </w:rPr>
      </w:pPr>
      <w:r>
        <w:rPr>
          <w:rFonts w:hint="eastAsia" w:ascii="標楷體" w:hAnsi="標楷體" w:eastAsia="標楷體"/>
          <w:b/>
          <w:bCs/>
          <w:sz w:val="32"/>
          <w:szCs w:val="32"/>
        </w:rPr>
        <w:t>詳細介紹</w:t>
      </w:r>
    </w:p>
    <w:p>
      <w:pPr>
        <w:pStyle w:val="11"/>
        <w:numPr>
          <w:ilvl w:val="0"/>
          <w:numId w:val="1"/>
        </w:numPr>
        <w:ind w:leftChars="0"/>
        <w:rPr>
          <w:rFonts w:ascii="標楷體" w:hAnsi="標楷體" w:eastAsia="標楷體"/>
          <w:b/>
          <w:sz w:val="26"/>
          <w:szCs w:val="26"/>
        </w:rPr>
      </w:pPr>
      <w:r>
        <w:rPr>
          <w:rFonts w:hint="eastAsia" w:ascii="標楷體" w:hAnsi="標楷體" w:eastAsia="標楷體"/>
          <w:b/>
          <w:sz w:val="26"/>
          <w:szCs w:val="26"/>
        </w:rPr>
        <w:t>收斂型蛛網</w:t>
      </w:r>
    </w:p>
    <w:p>
      <w:pPr>
        <w:rPr>
          <w:rFonts w:ascii="標楷體" w:hAnsi="標楷體" w:eastAsia="標楷體"/>
          <w:sz w:val="26"/>
          <w:szCs w:val="26"/>
        </w:rPr>
      </w:pPr>
      <w:r>
        <w:rPr>
          <w:rFonts w:hint="eastAsia" w:ascii="標楷體" w:hAnsi="標楷體" w:eastAsia="標楷體"/>
          <w:sz w:val="26"/>
          <w:szCs w:val="26"/>
        </w:rPr>
        <w:t>供給彈性&lt;需求彈性或供給曲線斜率絕對值&gt;需求曲線斜率絕對值，此時即(*)中(-d/b)^t一項趨於0，Pt趨於(a+c)/(b +d)。因為需求彈性大，表明價格變化相對較小，進而由價格引起的供給變化則更小，再進而由供給引起的價格變化則更小。</w:t>
      </w:r>
    </w:p>
    <w:p>
      <w:pPr>
        <w:rPr>
          <w:rFonts w:ascii="標楷體" w:hAnsi="標楷體" w:eastAsia="標楷體"/>
          <w:sz w:val="26"/>
          <w:szCs w:val="26"/>
        </w:rPr>
      </w:pPr>
      <w:r>
        <w:rPr>
          <w:rFonts w:hint="eastAsia" w:ascii="標楷體" w:hAnsi="標楷體" w:eastAsia="標楷體"/>
          <w:sz w:val="26"/>
          <w:szCs w:val="26"/>
        </w:rPr>
        <w:t>相對於價格軸（注意：這裡是把Y軸作為參考軸系討論的，下文所說的“斜率“ ”陡峭“都是以價格軸為參考軸而言的，與我們正常數學上以X軸為參考軸不同），需求曲線斜率的絕對值大於供給曲線斜率的絕對值。當市場由於受到干擾偏離原有的均衡狀態以後，實際價格和實際產量會圍繞均衡水平上下波動，但波動的幅度越來越小，最後會回復到原來的均衡點。</w:t>
      </w:r>
    </w:p>
    <w:p>
      <w:pPr>
        <w:rPr>
          <w:rFonts w:ascii="標楷體" w:hAnsi="標楷體" w:eastAsia="標楷體"/>
          <w:sz w:val="26"/>
          <w:szCs w:val="26"/>
        </w:rPr>
      </w:pPr>
      <w:r>
        <w:rPr>
          <w:rFonts w:hint="eastAsia" w:ascii="標楷體" w:hAnsi="標楷體" w:eastAsia="標楷體"/>
          <w:sz w:val="26"/>
          <w:szCs w:val="26"/>
        </w:rPr>
        <w:t>假定在第一期由於某種外在原因的干擾，如惡劣的氣候條件，實際產量由均衡水平Qe減少為Q1。根據需求曲線，消費者願意支付P1的價格購買全部的產量Q1，於是，實際價格上升為P1。根據第一期的較高的價格水平P1，按照供給曲線，生產者將第二期的產量增加為Q2。</w:t>
      </w:r>
    </w:p>
    <w:p>
      <w:pPr>
        <w:rPr>
          <w:rFonts w:ascii="標楷體" w:hAnsi="標楷體" w:eastAsia="標楷體"/>
          <w:sz w:val="26"/>
          <w:szCs w:val="26"/>
        </w:rPr>
      </w:pPr>
      <w:r>
        <w:rPr>
          <w:rFonts w:hint="eastAsia" w:ascii="標楷體" w:hAnsi="標楷體" w:eastAsia="標楷體"/>
          <w:sz w:val="26"/>
          <w:szCs w:val="26"/>
        </w:rPr>
        <w:t>在第二期，生產者為了出售全部的產量Q2，接受消費者所願意支付的價格P2，於是，實際價格下降為P2。根據第二期的較低的價格水平P2，生產者將第三期的產量減少為Q3。</w:t>
      </w:r>
    </w:p>
    <w:p>
      <w:pPr>
        <w:rPr>
          <w:rFonts w:ascii="標楷體" w:hAnsi="標楷體" w:eastAsia="標楷體"/>
          <w:sz w:val="26"/>
          <w:szCs w:val="26"/>
        </w:rPr>
      </w:pPr>
      <w:r>
        <w:rPr>
          <w:rFonts w:hint="eastAsia" w:ascii="標楷體" w:hAnsi="標楷體" w:eastAsia="標楷體"/>
          <w:sz w:val="26"/>
          <w:szCs w:val="26"/>
        </w:rPr>
        <w:t>在第三期，消費者願意支付P3的價格購買全部的產量Q3，於是，實際價格又上升為P3。根據第三期的較高的價格水平P3，生產者又將第四期的產量增加為Q4。</w:t>
      </w:r>
    </w:p>
    <w:p>
      <w:pPr>
        <w:rPr>
          <w:rFonts w:ascii="標楷體" w:hAnsi="標楷體" w:eastAsia="標楷體"/>
          <w:sz w:val="26"/>
          <w:szCs w:val="26"/>
        </w:rPr>
      </w:pPr>
      <w:r>
        <w:rPr>
          <w:rFonts w:hint="eastAsia" w:ascii="標楷體" w:hAnsi="標楷體" w:eastAsia="標楷體"/>
          <w:sz w:val="26"/>
          <w:szCs w:val="26"/>
        </w:rPr>
        <w:t>如此循環下去，如前圖所示，實際產量和實際價格的波動的幅度越來越小，最後恢復到均衡點E所代表的水平。</w:t>
      </w:r>
    </w:p>
    <w:p>
      <w:pPr>
        <w:rPr>
          <w:rFonts w:ascii="標楷體" w:hAnsi="標楷體" w:eastAsia="標楷體"/>
          <w:sz w:val="26"/>
          <w:szCs w:val="26"/>
        </w:rPr>
      </w:pPr>
      <w:r>
        <w:rPr>
          <w:rFonts w:hint="eastAsia" w:ascii="標楷體" w:hAnsi="標楷體" w:eastAsia="標楷體"/>
          <w:sz w:val="26"/>
          <w:szCs w:val="26"/>
        </w:rPr>
        <w:t>由此可見，圖中的均衡點所代表的均衡狀態是穩定的。也就是說，由於外在的原因，當價格和產量偏離均衡數值（Pe和Qe）後，經濟制度中存在著自發的因素，能使價格和產量自動地恢復均衡狀態。在圖中，產量和價格變化的途徑形成了一個蜘蛛網似的圖形，這就是蛛網模型名稱的由來。</w:t>
      </w:r>
    </w:p>
    <w:p>
      <w:pPr>
        <w:rPr>
          <w:rFonts w:ascii="標楷體" w:hAnsi="標楷體" w:eastAsia="標楷體"/>
          <w:sz w:val="26"/>
          <w:szCs w:val="26"/>
        </w:rPr>
      </w:pPr>
      <w:r>
        <w:rPr>
          <w:rFonts w:hint="eastAsia" w:ascii="標楷體" w:hAnsi="標楷體" w:eastAsia="標楷體"/>
          <w:sz w:val="26"/>
          <w:szCs w:val="26"/>
        </w:rPr>
        <w:t>在這裡，我們看到，除第一期受到外在原因幹擾外，其它各期都不會再受新的外在原因幹擾，從而前一期的價格能夠唯一決定下一期的產量。</w:t>
      </w:r>
    </w:p>
    <w:p>
      <w:pPr>
        <w:rPr>
          <w:rFonts w:ascii="標楷體" w:hAnsi="標楷體" w:eastAsia="標楷體"/>
          <w:sz w:val="26"/>
          <w:szCs w:val="26"/>
        </w:rPr>
      </w:pPr>
      <w:r>
        <w:rPr>
          <w:rFonts w:hint="eastAsia" w:ascii="標楷體" w:hAnsi="標楷體" w:eastAsia="標楷體"/>
          <w:sz w:val="26"/>
          <w:szCs w:val="26"/>
        </w:rPr>
        <w:t>按照動態的邏輯順序，我們還看到，生產者錯誤地根據上一期的價格決定供給量，消費者被動地消費生產者提供的全部生產量，而價格則由盲目生產出來的數量所決定。</w:t>
      </w:r>
    </w:p>
    <w:p>
      <w:pPr>
        <w:rPr>
          <w:rFonts w:ascii="標楷體" w:hAnsi="標楷體" w:eastAsia="標楷體"/>
          <w:sz w:val="26"/>
          <w:szCs w:val="26"/>
        </w:rPr>
      </w:pPr>
      <w:r>
        <w:rPr>
          <w:rFonts w:hint="eastAsia" w:ascii="標楷體" w:hAnsi="標楷體" w:eastAsia="標楷體"/>
          <w:sz w:val="26"/>
          <w:szCs w:val="26"/>
        </w:rPr>
        <w:t>在圖中，供求曲線各自只畫了一條，但是，經濟學在前面已經指出，供給的變動，不僅是指供給量沿著既定供給曲線的變動，還包括供給曲線的變動。需求的變動亦是如此。</w:t>
      </w:r>
    </w:p>
    <w:p>
      <w:pPr>
        <w:rPr>
          <w:rFonts w:ascii="標楷體" w:hAnsi="標楷體" w:eastAsia="標楷體"/>
          <w:sz w:val="26"/>
          <w:szCs w:val="26"/>
        </w:rPr>
      </w:pPr>
      <w:r>
        <w:rPr>
          <w:rFonts w:hint="eastAsia" w:ascii="標楷體" w:hAnsi="標楷體" w:eastAsia="標楷體"/>
          <w:sz w:val="26"/>
          <w:szCs w:val="26"/>
        </w:rPr>
        <w:t>那麼，經濟學又是如何保證供求曲線在多個時期裡，不受外在原因的干擾和盲目決策的影響，始終保持不變呢？而如果供求曲線本身也會隨著時期的不同而移動，那麼，又如何保證蛛網是收斂型的呢？</w:t>
      </w:r>
    </w:p>
    <w:p>
      <w:pPr>
        <w:rPr>
          <w:rFonts w:ascii="標楷體" w:hAnsi="標楷體" w:eastAsia="標楷體"/>
          <w:sz w:val="26"/>
          <w:szCs w:val="26"/>
        </w:rPr>
      </w:pPr>
    </w:p>
    <w:p>
      <w:pPr>
        <w:pStyle w:val="11"/>
        <w:numPr>
          <w:ilvl w:val="0"/>
          <w:numId w:val="2"/>
        </w:numPr>
        <w:ind w:leftChars="0"/>
        <w:rPr>
          <w:rFonts w:ascii="標楷體" w:hAnsi="標楷體" w:eastAsia="標楷體"/>
          <w:b/>
          <w:sz w:val="26"/>
          <w:szCs w:val="26"/>
        </w:rPr>
      </w:pPr>
      <w:r>
        <w:rPr>
          <w:rFonts w:hint="eastAsia" w:ascii="標楷體" w:hAnsi="標楷體" w:eastAsia="標楷體"/>
          <w:b/>
          <w:sz w:val="26"/>
          <w:szCs w:val="26"/>
        </w:rPr>
        <w:t>發散型蛛網</w:t>
      </w:r>
    </w:p>
    <w:p>
      <w:pPr>
        <w:rPr>
          <w:rFonts w:ascii="標楷體" w:hAnsi="標楷體" w:eastAsia="標楷體"/>
          <w:sz w:val="26"/>
          <w:szCs w:val="26"/>
        </w:rPr>
      </w:pPr>
      <w:r>
        <w:rPr>
          <w:rFonts w:hint="eastAsia" w:ascii="標楷體" w:hAnsi="標楷體" w:eastAsia="標楷體"/>
          <w:sz w:val="26"/>
          <w:szCs w:val="26"/>
        </w:rPr>
        <w:t>供給彈性&gt;需求彈性，或供給曲線斜率絕對值&lt;需求曲線斜率絕對值，此時即(*)中(-d/b)^t一項趨於無窮，Pt趨於發散。</w:t>
      </w:r>
    </w:p>
    <w:p>
      <w:pPr>
        <w:rPr>
          <w:rFonts w:ascii="標楷體" w:hAnsi="標楷體" w:eastAsia="標楷體"/>
          <w:sz w:val="26"/>
          <w:szCs w:val="26"/>
        </w:rPr>
      </w:pPr>
      <w:r>
        <w:rPr>
          <w:rFonts w:hint="eastAsia" w:ascii="標楷體" w:hAnsi="標楷體" w:eastAsia="標楷體"/>
          <w:sz w:val="26"/>
          <w:szCs w:val="26"/>
        </w:rPr>
        <w:t>相對於價格軸，需求曲線斜率的絕對值小於供給曲線斜率的絕對值。當市場由於受到外力的干擾偏離原有的均衡狀態以後，實際價格和實際產量上下波動的幅度會越來越大，偏離均衡點越來越遠。其原有的均衡狀態是不穩定的。</w:t>
      </w:r>
    </w:p>
    <w:p>
      <w:pPr>
        <w:rPr>
          <w:rFonts w:ascii="標楷體" w:hAnsi="標楷體" w:eastAsia="標楷體"/>
          <w:sz w:val="26"/>
          <w:szCs w:val="26"/>
        </w:rPr>
      </w:pPr>
      <w:r>
        <w:rPr>
          <w:rFonts w:hint="eastAsia" w:ascii="標楷體" w:hAnsi="標楷體" w:eastAsia="標楷體"/>
          <w:sz w:val="26"/>
          <w:szCs w:val="26"/>
        </w:rPr>
        <w:t>這種情況意味著產量可以無限供給，價格可以無限提高。</w:t>
      </w:r>
    </w:p>
    <w:p>
      <w:pPr>
        <w:rPr>
          <w:rFonts w:ascii="標楷體" w:hAnsi="標楷體" w:eastAsia="標楷體"/>
          <w:sz w:val="26"/>
          <w:szCs w:val="26"/>
        </w:rPr>
      </w:pPr>
    </w:p>
    <w:p>
      <w:pPr>
        <w:pStyle w:val="11"/>
        <w:numPr>
          <w:ilvl w:val="0"/>
          <w:numId w:val="2"/>
        </w:numPr>
        <w:ind w:leftChars="0"/>
        <w:rPr>
          <w:rFonts w:ascii="標楷體" w:hAnsi="標楷體" w:eastAsia="標楷體"/>
          <w:b/>
          <w:sz w:val="26"/>
          <w:szCs w:val="26"/>
        </w:rPr>
      </w:pPr>
      <w:r>
        <w:rPr>
          <w:rFonts w:hint="eastAsia" w:ascii="標楷體" w:hAnsi="標楷體" w:eastAsia="標楷體"/>
          <w:b/>
          <w:sz w:val="26"/>
          <w:szCs w:val="26"/>
        </w:rPr>
        <w:t>穩定型蛛網</w:t>
      </w:r>
    </w:p>
    <w:p>
      <w:pPr>
        <w:rPr>
          <w:rFonts w:ascii="標楷體" w:hAnsi="標楷體" w:eastAsia="標楷體"/>
          <w:sz w:val="26"/>
          <w:szCs w:val="26"/>
        </w:rPr>
      </w:pPr>
      <w:r>
        <w:rPr>
          <w:rFonts w:hint="eastAsia" w:ascii="標楷體" w:hAnsi="標楷體" w:eastAsia="標楷體"/>
          <w:sz w:val="26"/>
          <w:szCs w:val="26"/>
        </w:rPr>
        <w:t>供給彈性=需求彈性，或供給曲線斜率的絕對值等於需求曲線斜率的絕對值，此時即(*)中(-d/b)^t一項=±1。</w:t>
      </w:r>
    </w:p>
    <w:p>
      <w:pPr>
        <w:rPr>
          <w:rFonts w:ascii="標楷體" w:hAnsi="標楷體" w:eastAsia="標楷體"/>
          <w:sz w:val="26"/>
          <w:szCs w:val="26"/>
        </w:rPr>
      </w:pPr>
      <w:r>
        <w:rPr>
          <w:rFonts w:hint="eastAsia" w:ascii="標楷體" w:hAnsi="標楷體" w:eastAsia="標楷體"/>
          <w:sz w:val="26"/>
          <w:szCs w:val="26"/>
        </w:rPr>
        <w:t>當市場由於受到外力的干擾偏離原有的均衡狀態以後，實際產量和實際價格始終按同一幅度圍繞均衡點上下波動，既不進一步偏離均衡點，也不逐步地趨向均衡點1。</w:t>
      </w:r>
    </w:p>
    <w:p>
      <w:pPr>
        <w:widowControl/>
        <w:rPr>
          <w:rFonts w:ascii="標楷體" w:hAnsi="標楷體" w:eastAsia="標楷體"/>
          <w:sz w:val="26"/>
          <w:szCs w:val="26"/>
        </w:rPr>
      </w:pPr>
      <w:r>
        <w:rPr>
          <w:rFonts w:ascii="標楷體" w:hAnsi="標楷體" w:eastAsia="標楷體"/>
          <w:sz w:val="26"/>
          <w:szCs w:val="26"/>
        </w:rPr>
        <w:br w:type="page"/>
      </w:r>
    </w:p>
    <w:p>
      <w:pPr>
        <w:rPr>
          <w:rFonts w:ascii="標楷體" w:hAnsi="標楷體" w:eastAsia="標楷體"/>
          <w:sz w:val="26"/>
          <w:szCs w:val="26"/>
        </w:rPr>
      </w:pPr>
      <w:r>
        <w:rPr>
          <w:rFonts w:hint="eastAsia" w:ascii="標楷體" w:hAnsi="標楷體" w:eastAsia="標楷體"/>
          <w:sz w:val="26"/>
          <w:szCs w:val="26"/>
        </w:rPr>
        <w:t xml:space="preserve">    蛛網模型是指某些商品的價格與產量變動相互影響，引起規律性的循環變動的理論。西方經濟學家認為，某些生產周期較長的商品的產量和價格的波動的情況，是一個有意義的動態分析模型。但是，這個模型還是一個很簡單的和有缺陷的模型。這是因為，根據該模型分析，造成產量和價格波動的主要原因是：生產者總是根據上一期的價格來決定下一期的產量，這樣，上一期的價格同時也就是生產者對下一期的預期價格。而事實上，在每一期，生產者只能按照本期的市場價格來出售由預期價格（即上一期價格）所決定的產量。這種實際價格和預期的價格不吻合，造成了產量和價格的波動。但是，這種解釋是不全面的。因為生產者從自己的經驗中，會逐步修正自己的預期價格，使預期價格接近實際價格，從而使實際產量接近市場的實際需求量。</w:t>
      </w:r>
    </w:p>
    <w:p>
      <w:pPr>
        <w:rPr>
          <w:rFonts w:ascii="標楷體" w:hAnsi="標楷體" w:eastAsia="標楷體"/>
          <w:sz w:val="26"/>
          <w:szCs w:val="26"/>
        </w:rPr>
      </w:pPr>
      <w:r>
        <w:rPr>
          <w:rFonts w:ascii="標楷體" w:hAnsi="標楷體" w:eastAsia="標楷體"/>
          <w:kern w:val="2"/>
          <w:sz w:val="26"/>
          <w:szCs w:val="26"/>
          <w:lang w:val="en-US" w:eastAsia="zh-TW" w:bidi="ar-SA"/>
        </w:rPr>
        <w:pict>
          <v:shape id="圖片框 1035" o:spid="_x0000_s1036" type="#_x0000_t75" style="height:339.6pt;width:415.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ascii="標楷體" w:hAnsi="標楷體" w:eastAsia="標楷體"/>
          <w:sz w:val="26"/>
          <w:szCs w:val="26"/>
        </w:rPr>
      </w:pPr>
      <w:r>
        <w:rPr>
          <w:rFonts w:hint="eastAsia" w:ascii="標楷體" w:hAnsi="標楷體" w:eastAsia="標楷體"/>
          <w:sz w:val="26"/>
          <w:szCs w:val="26"/>
        </w:rPr>
        <w:t xml:space="preserve">    所以2021年2月由於中國大陸禁止台灣鳳梨進口，鳳梨銷量大幅度下降，但通過一連串台灣人自購潮，從而鳳梨價格上漲.隨著鳳梨價格的上漲，1顆鳳梨竟飆漲至100元(如上圖所示)，已經1至2年沒有看過這個價格，農場主便擴大鳳梨的種植面積，使鳳梨產量提高。結果，鳳梨供給量大幅度增加導致鳳梨價格又急劇下降，該價格比平均生產成本還低，這種現象可以用蛛網模型來解釋。</w:t>
      </w:r>
    </w:p>
    <w:p>
      <w:pPr>
        <w:widowControl/>
        <w:rPr>
          <w:rFonts w:ascii="標楷體" w:hAnsi="標楷體" w:eastAsia="標楷體"/>
          <w:sz w:val="26"/>
          <w:szCs w:val="26"/>
        </w:rPr>
      </w:pPr>
      <w:r>
        <w:rPr>
          <w:rFonts w:ascii="標楷體" w:hAnsi="標楷體" w:eastAsia="標楷體"/>
          <w:sz w:val="26"/>
          <w:szCs w:val="26"/>
        </w:rPr>
        <w:br w:type="page"/>
      </w:r>
    </w:p>
    <w:p>
      <w:pPr>
        <w:pStyle w:val="7"/>
        <w:textAlignment w:val="baseline"/>
        <w:rPr>
          <w:rStyle w:val="9"/>
          <w:rFonts w:ascii="標楷體" w:hAnsi="標楷體" w:eastAsia="標楷體"/>
          <w:kern w:val="2"/>
          <w:sz w:val="36"/>
          <w:szCs w:val="36"/>
        </w:rPr>
      </w:pPr>
      <w:r>
        <w:rPr>
          <w:rStyle w:val="9"/>
          <w:rFonts w:hint="eastAsia" w:ascii="標楷體" w:hAnsi="標楷體" w:eastAsia="標楷體"/>
          <w:kern w:val="2"/>
          <w:sz w:val="36"/>
          <w:szCs w:val="36"/>
        </w:rPr>
        <w:t>賽局理論是什麼？</w:t>
      </w:r>
    </w:p>
    <w:p>
      <w:pPr>
        <w:pStyle w:val="7"/>
        <w:textAlignment w:val="baseline"/>
        <w:rPr>
          <w:rStyle w:val="9"/>
          <w:rFonts w:ascii="標楷體" w:hAnsi="標楷體" w:eastAsia="標楷體"/>
          <w:b w:val="0"/>
          <w:kern w:val="2"/>
          <w:sz w:val="26"/>
          <w:szCs w:val="26"/>
        </w:rPr>
      </w:pPr>
      <w:r>
        <w:rPr>
          <w:rStyle w:val="9"/>
          <w:rFonts w:hint="eastAsia" w:ascii="標楷體" w:hAnsi="標楷體" w:eastAsia="標楷體"/>
          <w:b w:val="0"/>
          <w:kern w:val="2"/>
          <w:sz w:val="26"/>
          <w:szCs w:val="26"/>
        </w:rPr>
        <w:t>賽局理論（Game Theory）又譯為對策論或博弈論，被認為是20世紀經濟學最偉大的成果之一。</w:t>
      </w:r>
    </w:p>
    <w:p>
      <w:pPr>
        <w:pStyle w:val="7"/>
        <w:textAlignment w:val="baseline"/>
        <w:rPr>
          <w:rStyle w:val="9"/>
          <w:rFonts w:ascii="標楷體" w:hAnsi="標楷體" w:eastAsia="標楷體"/>
          <w:b w:val="0"/>
          <w:kern w:val="2"/>
          <w:sz w:val="26"/>
          <w:szCs w:val="26"/>
        </w:rPr>
      </w:pPr>
      <w:r>
        <w:rPr>
          <w:rStyle w:val="9"/>
          <w:rFonts w:hint="eastAsia" w:ascii="標楷體" w:hAnsi="標楷體" w:eastAsia="標楷體"/>
          <w:b w:val="0"/>
          <w:kern w:val="2"/>
          <w:sz w:val="26"/>
          <w:szCs w:val="26"/>
        </w:rPr>
        <w:t>目前在生物學、經濟學、國際關係、計算機科學、政治學、軍事戰略和其他很多學科都有廣泛的應用。</w:t>
      </w:r>
    </w:p>
    <w:p>
      <w:pPr>
        <w:pStyle w:val="7"/>
        <w:textAlignment w:val="baseline"/>
        <w:rPr>
          <w:rStyle w:val="9"/>
          <w:rFonts w:ascii="標楷體" w:hAnsi="標楷體" w:eastAsia="標楷體"/>
          <w:b w:val="0"/>
          <w:kern w:val="2"/>
          <w:sz w:val="26"/>
          <w:szCs w:val="26"/>
        </w:rPr>
      </w:pPr>
      <w:r>
        <w:rPr>
          <w:rStyle w:val="9"/>
          <w:rFonts w:hint="eastAsia" w:ascii="標楷體" w:hAnsi="標楷體" w:eastAsia="標楷體"/>
          <w:b w:val="0"/>
          <w:kern w:val="2"/>
          <w:sz w:val="26"/>
          <w:szCs w:val="26"/>
        </w:rPr>
        <w:t>主要研究將賽局公式化，並探討之間的相互作用（遊戲或者賽局），是專門用來研究具有競爭現象的數學理論與方法。</w:t>
      </w:r>
    </w:p>
    <w:p>
      <w:pPr>
        <w:pStyle w:val="7"/>
        <w:textAlignment w:val="baseline"/>
        <w:rPr>
          <w:rStyle w:val="9"/>
          <w:rFonts w:ascii="標楷體" w:hAnsi="標楷體" w:eastAsia="標楷體"/>
          <w:b w:val="0"/>
          <w:kern w:val="2"/>
          <w:sz w:val="26"/>
          <w:szCs w:val="26"/>
        </w:rPr>
      </w:pPr>
      <w:r>
        <w:rPr>
          <w:rStyle w:val="9"/>
          <w:rFonts w:hint="eastAsia" w:ascii="標楷體" w:hAnsi="標楷體" w:eastAsia="標楷體"/>
          <w:b w:val="0"/>
          <w:kern w:val="2"/>
          <w:sz w:val="26"/>
          <w:szCs w:val="26"/>
        </w:rPr>
        <w:t>現代的賽局理論的源頭是約翰·馮·諾伊曼對於雙人零和賽局的混合策略均衡點的發想和證明。</w:t>
      </w:r>
    </w:p>
    <w:p>
      <w:pPr>
        <w:pStyle w:val="7"/>
        <w:textAlignment w:val="baseline"/>
        <w:rPr>
          <w:rStyle w:val="9"/>
          <w:rFonts w:ascii="標楷體" w:hAnsi="標楷體" w:eastAsia="標楷體"/>
          <w:b w:val="0"/>
          <w:kern w:val="2"/>
          <w:sz w:val="26"/>
          <w:szCs w:val="26"/>
        </w:rPr>
      </w:pPr>
      <w:r>
        <w:rPr>
          <w:rStyle w:val="9"/>
          <w:rFonts w:hint="eastAsia" w:ascii="標楷體" w:hAnsi="標楷體" w:eastAsia="標楷體"/>
          <w:b w:val="0"/>
          <w:kern w:val="2"/>
          <w:sz w:val="26"/>
          <w:szCs w:val="26"/>
        </w:rPr>
        <w:t>奈許均衡是什麼？</w:t>
      </w:r>
    </w:p>
    <w:p>
      <w:pPr>
        <w:pStyle w:val="7"/>
        <w:textAlignment w:val="baseline"/>
        <w:rPr>
          <w:rStyle w:val="9"/>
          <w:rFonts w:ascii="標楷體" w:hAnsi="標楷體" w:eastAsia="標楷體"/>
          <w:b w:val="0"/>
          <w:kern w:val="2"/>
          <w:sz w:val="26"/>
          <w:szCs w:val="26"/>
        </w:rPr>
      </w:pPr>
      <w:r>
        <w:rPr>
          <w:rStyle w:val="9"/>
          <w:rFonts w:hint="eastAsia" w:ascii="標楷體" w:hAnsi="標楷體" w:eastAsia="標楷體"/>
          <w:b w:val="0"/>
          <w:kern w:val="2"/>
          <w:sz w:val="26"/>
          <w:szCs w:val="26"/>
        </w:rPr>
        <w:t>奈許均衡是指「參賽者會猜測對方的行為，做出最佳的策略，則雙方決策的均衡點，就稱作奈許均衡。」簡單理解就是「這場賽局的結果」。</w:t>
      </w:r>
    </w:p>
    <w:p>
      <w:pPr>
        <w:pStyle w:val="7"/>
        <w:spacing w:before="0" w:beforeAutospacing="0" w:after="0" w:afterAutospacing="0"/>
        <w:textAlignment w:val="baseline"/>
        <w:rPr>
          <w:rFonts w:ascii="標楷體" w:hAnsi="標楷體" w:eastAsia="標楷體" w:cs="Times New Roman"/>
          <w:sz w:val="26"/>
          <w:szCs w:val="26"/>
        </w:rPr>
      </w:pPr>
      <w:r>
        <w:rPr>
          <w:rStyle w:val="9"/>
          <w:rFonts w:hint="eastAsia" w:ascii="標楷體" w:hAnsi="標楷體" w:eastAsia="標楷體"/>
          <w:b w:val="0"/>
          <w:kern w:val="2"/>
          <w:sz w:val="26"/>
          <w:szCs w:val="26"/>
        </w:rPr>
        <w:t>奈許均衡（Nash Equilibrium）又稱作「非合作均衡」，是由1994 年諾貝爾經濟學獎得主約翰．奈許（John Nash）提出。</w:t>
      </w:r>
    </w:p>
    <w:p>
      <w:pPr>
        <w:pStyle w:val="7"/>
        <w:spacing w:before="0" w:beforeAutospacing="0" w:after="0" w:afterAutospacing="0"/>
        <w:textAlignment w:val="baseline"/>
        <w:rPr>
          <w:rFonts w:ascii="標楷體" w:hAnsi="標楷體" w:eastAsia="標楷體" w:cs="Times New Roman"/>
          <w:sz w:val="26"/>
          <w:szCs w:val="26"/>
        </w:rPr>
      </w:pPr>
    </w:p>
    <w:p>
      <w:pPr>
        <w:pStyle w:val="7"/>
        <w:spacing w:before="0" w:beforeAutospacing="0" w:after="0" w:afterAutospacing="0"/>
        <w:textAlignment w:val="baseline"/>
        <w:rPr>
          <w:rFonts w:ascii="標楷體" w:hAnsi="標楷體" w:eastAsia="標楷體" w:cs="Times New Roman"/>
          <w:b/>
          <w:sz w:val="26"/>
          <w:szCs w:val="26"/>
        </w:rPr>
      </w:pPr>
      <w:r>
        <w:rPr>
          <w:rFonts w:ascii="標楷體" w:hAnsi="標楷體" w:eastAsia="標楷體" w:cs="Times New Roman"/>
          <w:b/>
          <w:sz w:val="26"/>
          <w:szCs w:val="26"/>
        </w:rPr>
        <w:t>賽局的表示</w:t>
      </w:r>
      <w:r>
        <w:rPr>
          <w:rFonts w:hint="eastAsia" w:ascii="標楷體" w:hAnsi="標楷體" w:eastAsia="標楷體" w:cs="Times New Roman"/>
          <w:b/>
          <w:sz w:val="26"/>
          <w:szCs w:val="26"/>
        </w:rPr>
        <w:t>:</w:t>
      </w:r>
    </w:p>
    <w:p>
      <w:pPr>
        <w:pStyle w:val="7"/>
        <w:spacing w:before="0" w:beforeAutospacing="0" w:after="0" w:afterAutospacing="0"/>
        <w:rPr>
          <w:rFonts w:ascii="標楷體" w:hAnsi="標楷體" w:eastAsia="標楷體"/>
          <w:sz w:val="26"/>
          <w:szCs w:val="26"/>
        </w:rPr>
      </w:pPr>
      <w:r>
        <w:rPr>
          <w:rFonts w:hint="eastAsia" w:ascii="標楷體" w:hAnsi="標楷體" w:eastAsia="標楷體"/>
          <w:b/>
          <w:bCs/>
          <w:sz w:val="26"/>
          <w:szCs w:val="26"/>
        </w:rPr>
        <w:t>P</w:t>
      </w:r>
      <w:r>
        <w:rPr>
          <w:rFonts w:hint="eastAsia" w:ascii="標楷體" w:hAnsi="標楷體" w:eastAsia="標楷體"/>
          <w:sz w:val="26"/>
          <w:szCs w:val="26"/>
        </w:rPr>
        <w:t>layer（參賽者）：</w:t>
      </w:r>
      <w:r>
        <w:rPr>
          <w:rFonts w:ascii="標楷體" w:hAnsi="標楷體" w:eastAsia="標楷體" w:cs="Arial"/>
          <w:sz w:val="26"/>
          <w:szCs w:val="26"/>
        </w:rPr>
        <w:t>決策制定者</w:t>
      </w:r>
    </w:p>
    <w:p>
      <w:pPr>
        <w:pStyle w:val="7"/>
        <w:spacing w:before="0" w:beforeAutospacing="0" w:after="0" w:afterAutospacing="0"/>
        <w:rPr>
          <w:rFonts w:ascii="標楷體" w:hAnsi="標楷體" w:eastAsia="標楷體"/>
          <w:sz w:val="26"/>
          <w:szCs w:val="26"/>
        </w:rPr>
      </w:pPr>
      <w:r>
        <w:rPr>
          <w:rFonts w:hint="eastAsia" w:ascii="標楷體" w:hAnsi="標楷體" w:eastAsia="標楷體"/>
          <w:b/>
          <w:bCs/>
          <w:sz w:val="26"/>
          <w:szCs w:val="26"/>
        </w:rPr>
        <w:t>A</w:t>
      </w:r>
      <w:r>
        <w:rPr>
          <w:rFonts w:hint="eastAsia" w:ascii="標楷體" w:hAnsi="標楷體" w:eastAsia="標楷體"/>
          <w:sz w:val="26"/>
          <w:szCs w:val="26"/>
        </w:rPr>
        <w:t>ction（行動）：</w:t>
      </w:r>
      <w:r>
        <w:rPr>
          <w:rFonts w:ascii="標楷體" w:hAnsi="標楷體" w:eastAsia="標楷體" w:cs="Arial"/>
          <w:sz w:val="26"/>
          <w:szCs w:val="26"/>
        </w:rPr>
        <w:t>參賽者可以選擇的所有決策可能</w:t>
      </w:r>
    </w:p>
    <w:p>
      <w:pPr>
        <w:pStyle w:val="7"/>
        <w:spacing w:before="0" w:beforeAutospacing="0" w:after="0" w:afterAutospacing="0"/>
        <w:jc w:val="both"/>
        <w:rPr>
          <w:rFonts w:ascii="標楷體" w:hAnsi="標楷體" w:eastAsia="標楷體"/>
          <w:sz w:val="26"/>
          <w:szCs w:val="26"/>
        </w:rPr>
      </w:pPr>
      <w:r>
        <w:rPr>
          <w:rFonts w:hint="eastAsia" w:ascii="標楷體" w:hAnsi="標楷體" w:eastAsia="標楷體"/>
          <w:b/>
          <w:bCs/>
          <w:sz w:val="26"/>
          <w:szCs w:val="26"/>
        </w:rPr>
        <w:t>P</w:t>
      </w:r>
      <w:r>
        <w:rPr>
          <w:rFonts w:ascii="標楷體" w:hAnsi="標楷體" w:eastAsia="標楷體"/>
          <w:b/>
          <w:bCs/>
          <w:sz w:val="26"/>
          <w:szCs w:val="26"/>
        </w:rPr>
        <w:t>a</w:t>
      </w:r>
      <w:r>
        <w:rPr>
          <w:rFonts w:hint="eastAsia" w:ascii="標楷體" w:hAnsi="標楷體" w:eastAsia="標楷體"/>
          <w:sz w:val="26"/>
          <w:szCs w:val="26"/>
        </w:rPr>
        <w:t>yoffs（報酬）：</w:t>
      </w:r>
      <w:r>
        <w:rPr>
          <w:rFonts w:ascii="標楷體" w:hAnsi="標楷體" w:eastAsia="標楷體" w:cs="Arial"/>
          <w:sz w:val="26"/>
          <w:szCs w:val="26"/>
        </w:rPr>
        <w:t>賽局結束時，依照每人選擇的策略組合，參賽者所得的報酬</w:t>
      </w:r>
    </w:p>
    <w:p>
      <w:pPr>
        <w:pStyle w:val="7"/>
        <w:spacing w:before="0" w:beforeAutospacing="0" w:after="0" w:afterAutospacing="0"/>
        <w:rPr>
          <w:rFonts w:ascii="標楷體" w:hAnsi="標楷體" w:eastAsia="標楷體"/>
          <w:sz w:val="26"/>
          <w:szCs w:val="26"/>
        </w:rPr>
      </w:pPr>
      <w:r>
        <w:rPr>
          <w:rFonts w:hint="eastAsia" w:ascii="標楷體" w:hAnsi="標楷體" w:eastAsia="標楷體"/>
          <w:b/>
          <w:bCs/>
          <w:sz w:val="26"/>
          <w:szCs w:val="26"/>
        </w:rPr>
        <w:t>I</w:t>
      </w:r>
      <w:r>
        <w:rPr>
          <w:rFonts w:hint="eastAsia" w:ascii="標楷體" w:hAnsi="標楷體" w:eastAsia="標楷體"/>
          <w:sz w:val="26"/>
          <w:szCs w:val="26"/>
        </w:rPr>
        <w:t>nformation（資訊）：</w:t>
      </w:r>
      <w:r>
        <w:rPr>
          <w:rFonts w:ascii="標楷體" w:hAnsi="標楷體" w:eastAsia="標楷體" w:cs="Arial"/>
          <w:sz w:val="26"/>
          <w:szCs w:val="26"/>
        </w:rPr>
        <w:t>每一位參賽者在做決策時所知道的訊息</w:t>
      </w:r>
    </w:p>
    <w:p>
      <w:pPr>
        <w:spacing w:line="400" w:lineRule="exact"/>
        <w:rPr>
          <w:rFonts w:ascii="標楷體" w:hAnsi="標楷體" w:eastAsia="標楷體"/>
          <w:sz w:val="26"/>
          <w:szCs w:val="26"/>
        </w:rPr>
      </w:pPr>
    </w:p>
    <w:p>
      <w:pPr>
        <w:spacing w:line="400" w:lineRule="exact"/>
        <w:rPr>
          <w:rFonts w:ascii="標楷體" w:hAnsi="標楷體" w:eastAsia="標楷體"/>
          <w:sz w:val="26"/>
          <w:szCs w:val="26"/>
        </w:rPr>
      </w:pPr>
      <w:r>
        <w:rPr>
          <w:rFonts w:ascii="標楷體" w:hAnsi="標楷體" w:eastAsia="標楷體"/>
          <w:sz w:val="26"/>
          <w:szCs w:val="26"/>
        </w:rPr>
        <w:t>P:</w:t>
      </w:r>
      <w:r>
        <w:rPr>
          <w:rFonts w:hint="eastAsia" w:ascii="標楷體" w:hAnsi="標楷體" w:eastAsia="標楷體"/>
          <w:sz w:val="26"/>
          <w:szCs w:val="26"/>
        </w:rPr>
        <w:t>中國政府、台灣政府</w:t>
      </w:r>
    </w:p>
    <w:p>
      <w:pPr>
        <w:spacing w:line="400" w:lineRule="exact"/>
        <w:rPr>
          <w:rFonts w:ascii="標楷體" w:hAnsi="標楷體" w:eastAsia="標楷體"/>
          <w:sz w:val="26"/>
          <w:szCs w:val="26"/>
        </w:rPr>
      </w:pPr>
      <w:r>
        <w:rPr>
          <w:rFonts w:ascii="標楷體" w:hAnsi="標楷體" w:eastAsia="標楷體"/>
          <w:sz w:val="26"/>
          <w:szCs w:val="26"/>
        </w:rPr>
        <w:t>A:</w:t>
      </w:r>
      <w:r>
        <w:rPr>
          <w:rFonts w:hint="eastAsia" w:ascii="標楷體" w:hAnsi="標楷體" w:eastAsia="標楷體"/>
          <w:sz w:val="26"/>
          <w:szCs w:val="26"/>
        </w:rPr>
        <w:t>雙方是否開放進口鳳梨</w:t>
      </w:r>
    </w:p>
    <w:p>
      <w:pPr>
        <w:spacing w:line="400" w:lineRule="exact"/>
        <w:rPr>
          <w:rFonts w:ascii="標楷體" w:hAnsi="標楷體" w:eastAsia="標楷體"/>
          <w:sz w:val="26"/>
          <w:szCs w:val="26"/>
        </w:rPr>
      </w:pPr>
      <w:r>
        <w:rPr>
          <w:rFonts w:ascii="標楷體" w:hAnsi="標楷體" w:eastAsia="標楷體"/>
          <w:sz w:val="26"/>
          <w:szCs w:val="26"/>
        </w:rPr>
        <w:t>P:</w:t>
      </w:r>
      <w:r>
        <w:rPr>
          <w:rFonts w:hint="eastAsia" w:ascii="標楷體" w:hAnsi="標楷體" w:eastAsia="標楷體"/>
          <w:sz w:val="26"/>
          <w:szCs w:val="26"/>
        </w:rPr>
        <w:t>台灣成功外銷的鳳梨</w:t>
      </w:r>
    </w:p>
    <w:p>
      <w:pPr>
        <w:spacing w:line="400" w:lineRule="exact"/>
        <w:rPr>
          <w:rFonts w:ascii="標楷體" w:hAnsi="標楷體" w:eastAsia="標楷體"/>
          <w:sz w:val="26"/>
          <w:szCs w:val="26"/>
        </w:rPr>
      </w:pPr>
      <w:r>
        <w:rPr>
          <w:rFonts w:ascii="標楷體" w:hAnsi="標楷體" w:eastAsia="標楷體"/>
          <w:sz w:val="26"/>
          <w:szCs w:val="26"/>
        </w:rPr>
        <w:t>I:</w:t>
      </w:r>
      <w:r>
        <w:rPr>
          <w:rFonts w:hint="eastAsia" w:ascii="標楷體" w:hAnsi="標楷體" w:eastAsia="標楷體"/>
          <w:sz w:val="26"/>
          <w:szCs w:val="26"/>
        </w:rPr>
        <w:t>中國市場在近5年內佔台灣鳳梨出口90%</w:t>
      </w:r>
    </w:p>
    <w:p>
      <w:pPr>
        <w:widowControl/>
        <w:rPr>
          <w:rFonts w:ascii="標楷體" w:hAnsi="標楷體" w:eastAsia="標楷體" w:cs="Times New Roman"/>
          <w:b/>
          <w:bCs/>
          <w:kern w:val="0"/>
          <w:sz w:val="26"/>
          <w:szCs w:val="26"/>
        </w:rPr>
      </w:pPr>
      <w:r>
        <w:rPr>
          <w:rFonts w:ascii="標楷體" w:hAnsi="標楷體" w:eastAsia="標楷體" w:cs="Times New Roman"/>
          <w:b/>
          <w:bCs/>
          <w:kern w:val="0"/>
          <w:sz w:val="26"/>
          <w:szCs w:val="26"/>
        </w:rPr>
        <w:t>報酬的假設如下：</w:t>
      </w:r>
      <w:r>
        <w:rPr>
          <w:rFonts w:hint="eastAsia" w:ascii="標楷體" w:hAnsi="標楷體" w:eastAsia="標楷體" w:cs="Times New Roman"/>
          <w:bCs/>
          <w:kern w:val="0"/>
          <w:sz w:val="26"/>
          <w:szCs w:val="26"/>
        </w:rPr>
        <w:t>(</w:t>
      </w:r>
      <w:r>
        <w:rPr>
          <w:rFonts w:hint="eastAsia" w:ascii="標楷體" w:hAnsi="標楷體" w:eastAsia="標楷體"/>
          <w:sz w:val="26"/>
          <w:szCs w:val="26"/>
        </w:rPr>
        <w:t>假設最高利潤為10)</w:t>
      </w:r>
    </w:p>
    <w:p>
      <w:pPr>
        <w:widowControl/>
        <w:rPr>
          <w:rFonts w:ascii="標楷體" w:hAnsi="標楷體" w:eastAsia="標楷體" w:cs="新細明體"/>
          <w:kern w:val="0"/>
          <w:sz w:val="26"/>
          <w:szCs w:val="26"/>
        </w:rPr>
      </w:pPr>
      <w:r>
        <w:rPr>
          <w:rFonts w:ascii="標楷體" w:hAnsi="標楷體" w:eastAsia="標楷體" w:cs="Times New Roman"/>
          <w:kern w:val="0"/>
          <w:sz w:val="26"/>
          <w:szCs w:val="26"/>
        </w:rPr>
        <w:t>1.</w:t>
      </w:r>
      <w:r>
        <w:rPr>
          <w:rFonts w:hint="eastAsia" w:ascii="標楷體" w:hAnsi="標楷體" w:eastAsia="標楷體" w:cs="Times New Roman"/>
          <w:kern w:val="0"/>
          <w:sz w:val="26"/>
          <w:szCs w:val="26"/>
        </w:rPr>
        <w:t>台灣</w:t>
      </w:r>
      <w:r>
        <w:rPr>
          <w:rFonts w:ascii="標楷體" w:hAnsi="標楷體" w:eastAsia="標楷體" w:cs="Times New Roman"/>
          <w:kern w:val="0"/>
          <w:sz w:val="26"/>
          <w:szCs w:val="26"/>
        </w:rPr>
        <w:t>選擇</w:t>
      </w:r>
      <w:r>
        <w:rPr>
          <w:rFonts w:hint="eastAsia" w:ascii="標楷體" w:hAnsi="標楷體" w:eastAsia="標楷體" w:cs="Times New Roman"/>
          <w:kern w:val="0"/>
          <w:sz w:val="26"/>
          <w:szCs w:val="26"/>
        </w:rPr>
        <w:t>開放</w:t>
      </w:r>
      <w:r>
        <w:rPr>
          <w:rFonts w:ascii="標楷體" w:hAnsi="標楷體" w:eastAsia="標楷體" w:cs="Times New Roman"/>
          <w:kern w:val="0"/>
          <w:sz w:val="26"/>
          <w:szCs w:val="26"/>
        </w:rPr>
        <w:t>，</w:t>
      </w:r>
      <w:r>
        <w:rPr>
          <w:rFonts w:hint="eastAsia" w:ascii="標楷體" w:hAnsi="標楷體" w:eastAsia="標楷體" w:cs="Times New Roman"/>
          <w:kern w:val="0"/>
          <w:sz w:val="26"/>
          <w:szCs w:val="26"/>
        </w:rPr>
        <w:t>中國</w:t>
      </w:r>
      <w:r>
        <w:rPr>
          <w:rFonts w:ascii="標楷體" w:hAnsi="標楷體" w:eastAsia="標楷體" w:cs="Times New Roman"/>
          <w:kern w:val="0"/>
          <w:sz w:val="26"/>
          <w:szCs w:val="26"/>
        </w:rPr>
        <w:t>選擇</w:t>
      </w:r>
      <w:r>
        <w:rPr>
          <w:rFonts w:hint="eastAsia" w:ascii="標楷體" w:hAnsi="標楷體" w:eastAsia="標楷體" w:cs="Times New Roman"/>
          <w:kern w:val="0"/>
          <w:sz w:val="26"/>
          <w:szCs w:val="26"/>
        </w:rPr>
        <w:t>開放</w:t>
      </w:r>
      <w:r>
        <w:rPr>
          <w:rFonts w:ascii="標楷體" w:hAnsi="標楷體" w:eastAsia="標楷體" w:cs="Times New Roman"/>
          <w:kern w:val="0"/>
          <w:sz w:val="26"/>
          <w:szCs w:val="26"/>
        </w:rPr>
        <w:t>：</w:t>
      </w:r>
      <w:r>
        <w:rPr>
          <w:rFonts w:hint="eastAsia" w:ascii="標楷體" w:hAnsi="標楷體" w:eastAsia="標楷體" w:cs="Times New Roman"/>
          <w:kern w:val="0"/>
          <w:sz w:val="26"/>
          <w:szCs w:val="26"/>
        </w:rPr>
        <w:t>台灣</w:t>
      </w:r>
      <w:r>
        <w:rPr>
          <w:rFonts w:ascii="標楷體" w:hAnsi="標楷體" w:eastAsia="標楷體" w:cs="Times New Roman"/>
          <w:kern w:val="0"/>
          <w:sz w:val="26"/>
          <w:szCs w:val="26"/>
        </w:rPr>
        <w:t>得</w:t>
      </w:r>
      <w:r>
        <w:rPr>
          <w:rFonts w:hint="eastAsia" w:ascii="標楷體" w:hAnsi="標楷體" w:eastAsia="標楷體" w:cs="Times New Roman"/>
          <w:kern w:val="0"/>
          <w:sz w:val="26"/>
          <w:szCs w:val="26"/>
        </w:rPr>
        <w:t>6</w:t>
      </w:r>
      <w:r>
        <w:rPr>
          <w:rFonts w:ascii="標楷體" w:hAnsi="標楷體" w:eastAsia="標楷體" w:cs="Times New Roman"/>
          <w:kern w:val="0"/>
          <w:sz w:val="26"/>
          <w:szCs w:val="26"/>
        </w:rPr>
        <w:t>分，</w:t>
      </w:r>
      <w:r>
        <w:rPr>
          <w:rFonts w:hint="eastAsia" w:ascii="標楷體" w:hAnsi="標楷體" w:eastAsia="標楷體" w:cs="Times New Roman"/>
          <w:kern w:val="0"/>
          <w:sz w:val="26"/>
          <w:szCs w:val="26"/>
        </w:rPr>
        <w:t>中國</w:t>
      </w:r>
      <w:r>
        <w:rPr>
          <w:rFonts w:ascii="標楷體" w:hAnsi="標楷體" w:eastAsia="標楷體" w:cs="Times New Roman"/>
          <w:kern w:val="0"/>
          <w:sz w:val="26"/>
          <w:szCs w:val="26"/>
        </w:rPr>
        <w:t>得</w:t>
      </w:r>
      <w:r>
        <w:rPr>
          <w:rFonts w:hint="eastAsia" w:ascii="標楷體" w:hAnsi="標楷體" w:eastAsia="標楷體" w:cs="Times New Roman"/>
          <w:kern w:val="0"/>
          <w:sz w:val="26"/>
          <w:szCs w:val="26"/>
        </w:rPr>
        <w:t>10</w:t>
      </w:r>
      <w:r>
        <w:rPr>
          <w:rFonts w:ascii="標楷體" w:hAnsi="標楷體" w:eastAsia="標楷體" w:cs="Times New Roman"/>
          <w:kern w:val="0"/>
          <w:sz w:val="26"/>
          <w:szCs w:val="26"/>
        </w:rPr>
        <w:t>分</w:t>
      </w:r>
    </w:p>
    <w:p>
      <w:pPr>
        <w:widowControl/>
        <w:rPr>
          <w:rFonts w:ascii="標楷體" w:hAnsi="標楷體" w:eastAsia="標楷體" w:cs="新細明體"/>
          <w:kern w:val="0"/>
          <w:sz w:val="26"/>
          <w:szCs w:val="26"/>
        </w:rPr>
      </w:pPr>
      <w:r>
        <w:rPr>
          <w:rFonts w:ascii="標楷體" w:hAnsi="標楷體" w:eastAsia="標楷體" w:cs="Times New Roman"/>
          <w:kern w:val="0"/>
          <w:sz w:val="26"/>
          <w:szCs w:val="26"/>
        </w:rPr>
        <w:t>2.</w:t>
      </w:r>
      <w:r>
        <w:rPr>
          <w:rFonts w:hint="eastAsia" w:ascii="標楷體" w:hAnsi="標楷體" w:eastAsia="標楷體" w:cs="Times New Roman"/>
          <w:kern w:val="0"/>
          <w:sz w:val="26"/>
          <w:szCs w:val="26"/>
        </w:rPr>
        <w:t>台灣</w:t>
      </w:r>
      <w:r>
        <w:rPr>
          <w:rFonts w:ascii="標楷體" w:hAnsi="標楷體" w:eastAsia="標楷體" w:cs="Times New Roman"/>
          <w:kern w:val="0"/>
          <w:sz w:val="26"/>
          <w:szCs w:val="26"/>
        </w:rPr>
        <w:t>選擇</w:t>
      </w:r>
      <w:r>
        <w:rPr>
          <w:rFonts w:hint="eastAsia" w:ascii="標楷體" w:hAnsi="標楷體" w:eastAsia="標楷體" w:cs="Times New Roman"/>
          <w:kern w:val="0"/>
          <w:sz w:val="26"/>
          <w:szCs w:val="26"/>
        </w:rPr>
        <w:t>開放</w:t>
      </w:r>
      <w:r>
        <w:rPr>
          <w:rFonts w:ascii="標楷體" w:hAnsi="標楷體" w:eastAsia="標楷體" w:cs="Times New Roman"/>
          <w:kern w:val="0"/>
          <w:sz w:val="26"/>
          <w:szCs w:val="26"/>
        </w:rPr>
        <w:t>，</w:t>
      </w:r>
      <w:r>
        <w:rPr>
          <w:rFonts w:hint="eastAsia" w:ascii="標楷體" w:hAnsi="標楷體" w:eastAsia="標楷體" w:cs="Times New Roman"/>
          <w:kern w:val="0"/>
          <w:sz w:val="26"/>
          <w:szCs w:val="26"/>
        </w:rPr>
        <w:t>中國</w:t>
      </w:r>
      <w:r>
        <w:rPr>
          <w:rFonts w:ascii="標楷體" w:hAnsi="標楷體" w:eastAsia="標楷體" w:cs="Times New Roman"/>
          <w:kern w:val="0"/>
          <w:sz w:val="26"/>
          <w:szCs w:val="26"/>
        </w:rPr>
        <w:t>選擇不</w:t>
      </w:r>
      <w:r>
        <w:rPr>
          <w:rFonts w:hint="eastAsia" w:ascii="標楷體" w:hAnsi="標楷體" w:eastAsia="標楷體" w:cs="Times New Roman"/>
          <w:kern w:val="0"/>
          <w:sz w:val="26"/>
          <w:szCs w:val="26"/>
        </w:rPr>
        <w:t>開放</w:t>
      </w:r>
      <w:r>
        <w:rPr>
          <w:rFonts w:ascii="標楷體" w:hAnsi="標楷體" w:eastAsia="標楷體" w:cs="Times New Roman"/>
          <w:kern w:val="0"/>
          <w:sz w:val="26"/>
          <w:szCs w:val="26"/>
        </w:rPr>
        <w:t>：</w:t>
      </w:r>
      <w:r>
        <w:rPr>
          <w:rFonts w:hint="eastAsia" w:ascii="標楷體" w:hAnsi="標楷體" w:eastAsia="標楷體" w:cs="Times New Roman"/>
          <w:kern w:val="0"/>
          <w:sz w:val="26"/>
          <w:szCs w:val="26"/>
        </w:rPr>
        <w:t>台灣</w:t>
      </w:r>
      <w:r>
        <w:rPr>
          <w:rFonts w:ascii="標楷體" w:hAnsi="標楷體" w:eastAsia="標楷體" w:cs="Times New Roman"/>
          <w:kern w:val="0"/>
          <w:sz w:val="26"/>
          <w:szCs w:val="26"/>
        </w:rPr>
        <w:t>得</w:t>
      </w:r>
      <w:r>
        <w:rPr>
          <w:rFonts w:hint="eastAsia" w:ascii="標楷體" w:hAnsi="標楷體" w:eastAsia="標楷體" w:cs="Times New Roman"/>
          <w:kern w:val="0"/>
          <w:sz w:val="26"/>
          <w:szCs w:val="26"/>
        </w:rPr>
        <w:t>-1</w:t>
      </w:r>
      <w:r>
        <w:rPr>
          <w:rFonts w:ascii="標楷體" w:hAnsi="標楷體" w:eastAsia="標楷體" w:cs="Times New Roman"/>
          <w:kern w:val="0"/>
          <w:sz w:val="26"/>
          <w:szCs w:val="26"/>
        </w:rPr>
        <w:t>分，</w:t>
      </w:r>
      <w:r>
        <w:rPr>
          <w:rFonts w:hint="eastAsia" w:ascii="標楷體" w:hAnsi="標楷體" w:eastAsia="標楷體" w:cs="Times New Roman"/>
          <w:kern w:val="0"/>
          <w:sz w:val="26"/>
          <w:szCs w:val="26"/>
        </w:rPr>
        <w:t>中國</w:t>
      </w:r>
      <w:r>
        <w:rPr>
          <w:rFonts w:ascii="標楷體" w:hAnsi="標楷體" w:eastAsia="標楷體" w:cs="Times New Roman"/>
          <w:kern w:val="0"/>
          <w:sz w:val="26"/>
          <w:szCs w:val="26"/>
        </w:rPr>
        <w:t>得</w:t>
      </w:r>
      <w:r>
        <w:rPr>
          <w:rFonts w:hint="eastAsia" w:ascii="標楷體" w:hAnsi="標楷體" w:eastAsia="標楷體" w:cs="Times New Roman"/>
          <w:kern w:val="0"/>
          <w:sz w:val="26"/>
          <w:szCs w:val="26"/>
        </w:rPr>
        <w:t>9</w:t>
      </w:r>
      <w:r>
        <w:rPr>
          <w:rFonts w:ascii="標楷體" w:hAnsi="標楷體" w:eastAsia="標楷體" w:cs="Times New Roman"/>
          <w:kern w:val="0"/>
          <w:sz w:val="26"/>
          <w:szCs w:val="26"/>
        </w:rPr>
        <w:t>分</w:t>
      </w:r>
    </w:p>
    <w:p>
      <w:pPr>
        <w:widowControl/>
        <w:rPr>
          <w:rFonts w:ascii="標楷體" w:hAnsi="標楷體" w:eastAsia="標楷體" w:cs="新細明體"/>
          <w:kern w:val="0"/>
          <w:sz w:val="26"/>
          <w:szCs w:val="26"/>
        </w:rPr>
      </w:pPr>
      <w:r>
        <w:rPr>
          <w:rFonts w:ascii="標楷體" w:hAnsi="標楷體" w:eastAsia="標楷體" w:cs="Times New Roman"/>
          <w:kern w:val="0"/>
          <w:sz w:val="26"/>
          <w:szCs w:val="26"/>
        </w:rPr>
        <w:t>3.</w:t>
      </w:r>
      <w:r>
        <w:rPr>
          <w:rFonts w:hint="eastAsia" w:ascii="標楷體" w:hAnsi="標楷體" w:eastAsia="標楷體" w:cs="Times New Roman"/>
          <w:kern w:val="0"/>
          <w:sz w:val="26"/>
          <w:szCs w:val="26"/>
        </w:rPr>
        <w:t>台灣</w:t>
      </w:r>
      <w:r>
        <w:rPr>
          <w:rFonts w:ascii="標楷體" w:hAnsi="標楷體" w:eastAsia="標楷體" w:cs="Times New Roman"/>
          <w:kern w:val="0"/>
          <w:sz w:val="26"/>
          <w:szCs w:val="26"/>
        </w:rPr>
        <w:t>選擇不</w:t>
      </w:r>
      <w:r>
        <w:rPr>
          <w:rFonts w:hint="eastAsia" w:ascii="標楷體" w:hAnsi="標楷體" w:eastAsia="標楷體" w:cs="Times New Roman"/>
          <w:kern w:val="0"/>
          <w:sz w:val="26"/>
          <w:szCs w:val="26"/>
        </w:rPr>
        <w:t>開放</w:t>
      </w:r>
      <w:r>
        <w:rPr>
          <w:rFonts w:ascii="標楷體" w:hAnsi="標楷體" w:eastAsia="標楷體" w:cs="Times New Roman"/>
          <w:kern w:val="0"/>
          <w:sz w:val="26"/>
          <w:szCs w:val="26"/>
        </w:rPr>
        <w:t>，</w:t>
      </w:r>
      <w:r>
        <w:rPr>
          <w:rFonts w:hint="eastAsia" w:ascii="標楷體" w:hAnsi="標楷體" w:eastAsia="標楷體" w:cs="Times New Roman"/>
          <w:kern w:val="0"/>
          <w:sz w:val="26"/>
          <w:szCs w:val="26"/>
        </w:rPr>
        <w:t>中國</w:t>
      </w:r>
      <w:r>
        <w:rPr>
          <w:rFonts w:ascii="標楷體" w:hAnsi="標楷體" w:eastAsia="標楷體" w:cs="Times New Roman"/>
          <w:kern w:val="0"/>
          <w:sz w:val="26"/>
          <w:szCs w:val="26"/>
        </w:rPr>
        <w:t>選擇</w:t>
      </w:r>
      <w:r>
        <w:rPr>
          <w:rFonts w:hint="eastAsia" w:ascii="標楷體" w:hAnsi="標楷體" w:eastAsia="標楷體" w:cs="Times New Roman"/>
          <w:kern w:val="0"/>
          <w:sz w:val="26"/>
          <w:szCs w:val="26"/>
        </w:rPr>
        <w:t>開放</w:t>
      </w:r>
      <w:r>
        <w:rPr>
          <w:rFonts w:ascii="標楷體" w:hAnsi="標楷體" w:eastAsia="標楷體" w:cs="Times New Roman"/>
          <w:kern w:val="0"/>
          <w:sz w:val="26"/>
          <w:szCs w:val="26"/>
        </w:rPr>
        <w:t>：</w:t>
      </w:r>
      <w:r>
        <w:rPr>
          <w:rFonts w:hint="eastAsia" w:ascii="標楷體" w:hAnsi="標楷體" w:eastAsia="標楷體" w:cs="Times New Roman"/>
          <w:kern w:val="0"/>
          <w:sz w:val="26"/>
          <w:szCs w:val="26"/>
        </w:rPr>
        <w:t>台灣</w:t>
      </w:r>
      <w:r>
        <w:rPr>
          <w:rFonts w:ascii="標楷體" w:hAnsi="標楷體" w:eastAsia="標楷體" w:cs="Times New Roman"/>
          <w:kern w:val="0"/>
          <w:sz w:val="26"/>
          <w:szCs w:val="26"/>
        </w:rPr>
        <w:t>得</w:t>
      </w:r>
      <w:r>
        <w:rPr>
          <w:rFonts w:hint="eastAsia" w:ascii="標楷體" w:hAnsi="標楷體" w:eastAsia="標楷體" w:cs="Times New Roman"/>
          <w:kern w:val="0"/>
          <w:sz w:val="26"/>
          <w:szCs w:val="26"/>
        </w:rPr>
        <w:t>4</w:t>
      </w:r>
      <w:r>
        <w:rPr>
          <w:rFonts w:ascii="標楷體" w:hAnsi="標楷體" w:eastAsia="標楷體" w:cs="Times New Roman"/>
          <w:kern w:val="0"/>
          <w:sz w:val="26"/>
          <w:szCs w:val="26"/>
        </w:rPr>
        <w:t>分，</w:t>
      </w:r>
      <w:r>
        <w:rPr>
          <w:rFonts w:hint="eastAsia" w:ascii="標楷體" w:hAnsi="標楷體" w:eastAsia="標楷體" w:cs="Times New Roman"/>
          <w:kern w:val="0"/>
          <w:sz w:val="26"/>
          <w:szCs w:val="26"/>
        </w:rPr>
        <w:t>中國</w:t>
      </w:r>
      <w:r>
        <w:rPr>
          <w:rFonts w:ascii="標楷體" w:hAnsi="標楷體" w:eastAsia="標楷體" w:cs="Times New Roman"/>
          <w:kern w:val="0"/>
          <w:sz w:val="26"/>
          <w:szCs w:val="26"/>
        </w:rPr>
        <w:t>得</w:t>
      </w:r>
      <w:r>
        <w:rPr>
          <w:rFonts w:hint="eastAsia" w:ascii="標楷體" w:hAnsi="標楷體" w:eastAsia="標楷體" w:cs="Times New Roman"/>
          <w:kern w:val="0"/>
          <w:sz w:val="26"/>
          <w:szCs w:val="26"/>
        </w:rPr>
        <w:t>4</w:t>
      </w:r>
      <w:r>
        <w:rPr>
          <w:rFonts w:ascii="標楷體" w:hAnsi="標楷體" w:eastAsia="標楷體" w:cs="Times New Roman"/>
          <w:kern w:val="0"/>
          <w:sz w:val="26"/>
          <w:szCs w:val="26"/>
        </w:rPr>
        <w:t>分</w:t>
      </w:r>
    </w:p>
    <w:p>
      <w:pPr>
        <w:widowControl/>
        <w:rPr>
          <w:rFonts w:ascii="標楷體" w:hAnsi="標楷體" w:eastAsia="標楷體" w:cs="Times New Roman"/>
          <w:kern w:val="0"/>
          <w:sz w:val="26"/>
          <w:szCs w:val="26"/>
        </w:rPr>
      </w:pPr>
      <w:r>
        <w:rPr>
          <w:rFonts w:ascii="標楷體" w:hAnsi="標楷體" w:eastAsia="標楷體" w:cs="Times New Roman"/>
          <w:kern w:val="0"/>
          <w:sz w:val="26"/>
          <w:szCs w:val="26"/>
        </w:rPr>
        <w:t>4.</w:t>
      </w:r>
      <w:r>
        <w:rPr>
          <w:rFonts w:hint="eastAsia" w:ascii="標楷體" w:hAnsi="標楷體" w:eastAsia="標楷體" w:cs="Times New Roman"/>
          <w:kern w:val="0"/>
          <w:sz w:val="26"/>
          <w:szCs w:val="26"/>
        </w:rPr>
        <w:t>台灣</w:t>
      </w:r>
      <w:r>
        <w:rPr>
          <w:rFonts w:ascii="標楷體" w:hAnsi="標楷體" w:eastAsia="標楷體" w:cs="Times New Roman"/>
          <w:kern w:val="0"/>
          <w:sz w:val="26"/>
          <w:szCs w:val="26"/>
        </w:rPr>
        <w:t>選擇不</w:t>
      </w:r>
      <w:r>
        <w:rPr>
          <w:rFonts w:hint="eastAsia" w:ascii="標楷體" w:hAnsi="標楷體" w:eastAsia="標楷體" w:cs="Times New Roman"/>
          <w:kern w:val="0"/>
          <w:sz w:val="26"/>
          <w:szCs w:val="26"/>
        </w:rPr>
        <w:t>開放</w:t>
      </w:r>
      <w:r>
        <w:rPr>
          <w:rFonts w:ascii="標楷體" w:hAnsi="標楷體" w:eastAsia="標楷體" w:cs="Times New Roman"/>
          <w:kern w:val="0"/>
          <w:sz w:val="26"/>
          <w:szCs w:val="26"/>
        </w:rPr>
        <w:t>，</w:t>
      </w:r>
      <w:r>
        <w:rPr>
          <w:rFonts w:hint="eastAsia" w:ascii="標楷體" w:hAnsi="標楷體" w:eastAsia="標楷體" w:cs="Times New Roman"/>
          <w:kern w:val="0"/>
          <w:sz w:val="26"/>
          <w:szCs w:val="26"/>
        </w:rPr>
        <w:t>中國</w:t>
      </w:r>
      <w:r>
        <w:rPr>
          <w:rFonts w:ascii="標楷體" w:hAnsi="標楷體" w:eastAsia="標楷體" w:cs="Times New Roman"/>
          <w:kern w:val="0"/>
          <w:sz w:val="26"/>
          <w:szCs w:val="26"/>
        </w:rPr>
        <w:t>選擇不</w:t>
      </w:r>
      <w:r>
        <w:rPr>
          <w:rFonts w:hint="eastAsia" w:ascii="標楷體" w:hAnsi="標楷體" w:eastAsia="標楷體" w:cs="Times New Roman"/>
          <w:kern w:val="0"/>
          <w:sz w:val="26"/>
          <w:szCs w:val="26"/>
        </w:rPr>
        <w:t>開放</w:t>
      </w:r>
      <w:r>
        <w:rPr>
          <w:rFonts w:ascii="標楷體" w:hAnsi="標楷體" w:eastAsia="標楷體" w:cs="Times New Roman"/>
          <w:kern w:val="0"/>
          <w:sz w:val="26"/>
          <w:szCs w:val="26"/>
        </w:rPr>
        <w:t>：</w:t>
      </w:r>
      <w:r>
        <w:rPr>
          <w:rFonts w:hint="eastAsia" w:ascii="標楷體" w:hAnsi="標楷體" w:eastAsia="標楷體" w:cs="Times New Roman"/>
          <w:kern w:val="0"/>
          <w:sz w:val="26"/>
          <w:szCs w:val="26"/>
        </w:rPr>
        <w:t>台灣</w:t>
      </w:r>
      <w:r>
        <w:rPr>
          <w:rFonts w:ascii="標楷體" w:hAnsi="標楷體" w:eastAsia="標楷體" w:cs="Times New Roman"/>
          <w:kern w:val="0"/>
          <w:sz w:val="26"/>
          <w:szCs w:val="26"/>
        </w:rPr>
        <w:t>得</w:t>
      </w:r>
      <w:r>
        <w:rPr>
          <w:rFonts w:hint="eastAsia" w:ascii="標楷體" w:hAnsi="標楷體" w:eastAsia="標楷體" w:cs="Times New Roman"/>
          <w:kern w:val="0"/>
          <w:sz w:val="26"/>
          <w:szCs w:val="26"/>
        </w:rPr>
        <w:t>1</w:t>
      </w:r>
      <w:r>
        <w:rPr>
          <w:rFonts w:ascii="標楷體" w:hAnsi="標楷體" w:eastAsia="標楷體" w:cs="Times New Roman"/>
          <w:kern w:val="0"/>
          <w:sz w:val="26"/>
          <w:szCs w:val="26"/>
        </w:rPr>
        <w:t>分，</w:t>
      </w:r>
      <w:r>
        <w:rPr>
          <w:rFonts w:hint="eastAsia" w:ascii="標楷體" w:hAnsi="標楷體" w:eastAsia="標楷體" w:cs="Times New Roman"/>
          <w:kern w:val="0"/>
          <w:sz w:val="26"/>
          <w:szCs w:val="26"/>
        </w:rPr>
        <w:t>中國</w:t>
      </w:r>
      <w:r>
        <w:rPr>
          <w:rFonts w:ascii="標楷體" w:hAnsi="標楷體" w:eastAsia="標楷體" w:cs="Times New Roman"/>
          <w:kern w:val="0"/>
          <w:sz w:val="26"/>
          <w:szCs w:val="26"/>
        </w:rPr>
        <w:t>得</w:t>
      </w:r>
      <w:r>
        <w:rPr>
          <w:rFonts w:hint="eastAsia" w:ascii="標楷體" w:hAnsi="標楷體" w:eastAsia="標楷體" w:cs="Times New Roman"/>
          <w:kern w:val="0"/>
          <w:sz w:val="26"/>
          <w:szCs w:val="26"/>
        </w:rPr>
        <w:t>1</w:t>
      </w:r>
      <w:r>
        <w:rPr>
          <w:rFonts w:ascii="標楷體" w:hAnsi="標楷體" w:eastAsia="標楷體" w:cs="Times New Roman"/>
          <w:kern w:val="0"/>
          <w:sz w:val="26"/>
          <w:szCs w:val="26"/>
        </w:rPr>
        <w:t>分</w:t>
      </w:r>
    </w:p>
    <w:p>
      <w:pPr>
        <w:spacing w:line="400" w:lineRule="exact"/>
        <w:rPr>
          <w:rFonts w:ascii="標楷體" w:hAnsi="標楷體" w:eastAsia="標楷體"/>
          <w:sz w:val="26"/>
          <w:szCs w:val="26"/>
        </w:rPr>
      </w:pPr>
    </w:p>
    <w:tbl>
      <w:tblPr>
        <w:tblW w:w="804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591"/>
        <w:gridCol w:w="2152"/>
        <w:gridCol w:w="2152"/>
        <w:gridCol w:w="21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56" w:hRule="atLeast"/>
        </w:trPr>
        <w:tc>
          <w:tcPr>
            <w:tcW w:w="8047" w:type="dxa"/>
            <w:gridSpan w:val="4"/>
            <w:tcBorders>
              <w:top w:val="single" w:color="000000" w:sz="4" w:space="0"/>
              <w:left w:val="single" w:color="000000" w:sz="4" w:space="0"/>
              <w:bottom w:val="single" w:color="000000" w:sz="4" w:space="0"/>
              <w:right w:val="single" w:color="000000" w:sz="4" w:space="0"/>
            </w:tcBorders>
            <w:shd w:val="clear" w:color="auto" w:fill="CCCCCC"/>
            <w:tcMar>
              <w:top w:w="0" w:type="dxa"/>
              <w:left w:w="108" w:type="dxa"/>
              <w:bottom w:w="0" w:type="dxa"/>
              <w:right w:w="108" w:type="dxa"/>
            </w:tcMar>
            <w:vAlign w:val="center"/>
          </w:tcPr>
          <w:p>
            <w:pPr>
              <w:widowControl/>
              <w:jc w:val="center"/>
              <w:rPr>
                <w:rFonts w:ascii="標楷體" w:hAnsi="標楷體" w:eastAsia="標楷體" w:cs="新細明體"/>
                <w:kern w:val="0"/>
                <w:sz w:val="26"/>
                <w:szCs w:val="26"/>
              </w:rPr>
            </w:pPr>
            <w:r>
              <w:rPr>
                <w:rFonts w:hint="eastAsia" w:ascii="標楷體" w:hAnsi="標楷體" w:eastAsia="標楷體" w:cs="新細明體"/>
                <w:kern w:val="0"/>
                <w:sz w:val="26"/>
                <w:szCs w:val="26"/>
              </w:rPr>
              <w:t>中國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113" w:hRule="atLeast"/>
        </w:trPr>
        <w:tc>
          <w:tcPr>
            <w:tcW w:w="5895" w:type="dxa"/>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widowControl/>
              <w:jc w:val="center"/>
              <w:rPr>
                <w:rFonts w:ascii="標楷體" w:hAnsi="標楷體" w:eastAsia="標楷體" w:cs="新細明體"/>
                <w:kern w:val="0"/>
                <w:sz w:val="26"/>
                <w:szCs w:val="26"/>
              </w:rPr>
            </w:pPr>
            <w:r>
              <w:rPr>
                <w:rFonts w:hint="eastAsia" w:ascii="標楷體" w:hAnsi="標楷體" w:eastAsia="標楷體"/>
                <w:sz w:val="26"/>
                <w:szCs w:val="26"/>
              </w:rPr>
              <w:t>開放</w:t>
            </w:r>
          </w:p>
        </w:tc>
        <w:tc>
          <w:tcPr>
            <w:tcW w:w="215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widowControl/>
              <w:jc w:val="center"/>
              <w:rPr>
                <w:rFonts w:ascii="標楷體" w:hAnsi="標楷體" w:eastAsia="標楷體" w:cs="新細明體"/>
                <w:kern w:val="0"/>
                <w:sz w:val="26"/>
                <w:szCs w:val="26"/>
              </w:rPr>
            </w:pPr>
            <w:r>
              <w:rPr>
                <w:rFonts w:ascii="標楷體" w:hAnsi="標楷體" w:eastAsia="標楷體" w:cs="Times New Roman"/>
                <w:bCs/>
                <w:kern w:val="0"/>
                <w:sz w:val="26"/>
                <w:szCs w:val="26"/>
              </w:rPr>
              <w:t>不</w:t>
            </w:r>
            <w:r>
              <w:rPr>
                <w:rFonts w:hint="eastAsia" w:ascii="標楷體" w:hAnsi="標楷體" w:eastAsia="標楷體"/>
                <w:sz w:val="26"/>
                <w:szCs w:val="26"/>
              </w:rPr>
              <w:t>開放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72" w:hRule="atLeast"/>
        </w:trPr>
        <w:tc>
          <w:tcPr>
            <w:tcW w:w="1591" w:type="dxa"/>
            <w:vMerge w:val="restart"/>
            <w:tcBorders>
              <w:top w:val="single" w:color="000000" w:sz="4" w:space="0"/>
              <w:left w:val="single" w:color="000000" w:sz="4" w:space="0"/>
              <w:bottom w:val="single" w:color="000000" w:sz="4" w:space="0"/>
              <w:right w:val="single" w:color="000000" w:sz="4" w:space="0"/>
            </w:tcBorders>
            <w:shd w:val="clear" w:color="auto" w:fill="CCCCCC"/>
            <w:tcMar>
              <w:top w:w="0" w:type="dxa"/>
              <w:left w:w="108" w:type="dxa"/>
              <w:bottom w:w="0" w:type="dxa"/>
              <w:right w:w="108" w:type="dxa"/>
            </w:tcMar>
            <w:vAlign w:val="top"/>
          </w:tcPr>
          <w:p>
            <w:pPr>
              <w:widowControl/>
              <w:rPr>
                <w:rFonts w:ascii="標楷體" w:hAnsi="標楷體" w:eastAsia="標楷體" w:cs="新細明體"/>
                <w:kern w:val="0"/>
                <w:sz w:val="26"/>
                <w:szCs w:val="26"/>
              </w:rPr>
            </w:pPr>
            <w:r>
              <w:rPr>
                <w:rFonts w:hint="eastAsia" w:ascii="標楷體" w:hAnsi="標楷體" w:eastAsia="標楷體" w:cs="Times New Roman"/>
                <w:kern w:val="0"/>
                <w:sz w:val="26"/>
                <w:szCs w:val="26"/>
              </w:rPr>
              <w:t>台灣</w:t>
            </w:r>
          </w:p>
        </w:tc>
        <w:tc>
          <w:tcPr>
            <w:tcW w:w="215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widowControl/>
              <w:jc w:val="center"/>
              <w:rPr>
                <w:rFonts w:ascii="標楷體" w:hAnsi="標楷體" w:eastAsia="標楷體" w:cs="新細明體"/>
                <w:kern w:val="0"/>
                <w:sz w:val="26"/>
                <w:szCs w:val="26"/>
              </w:rPr>
            </w:pPr>
            <w:r>
              <w:rPr>
                <w:rFonts w:hint="eastAsia" w:ascii="標楷體" w:hAnsi="標楷體" w:eastAsia="標楷體"/>
                <w:sz w:val="26"/>
                <w:szCs w:val="26"/>
              </w:rPr>
              <w:t>開放</w:t>
            </w:r>
          </w:p>
        </w:tc>
        <w:tc>
          <w:tcPr>
            <w:tcW w:w="215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widowControl/>
              <w:jc w:val="center"/>
              <w:rPr>
                <w:rFonts w:ascii="標楷體" w:hAnsi="標楷體" w:eastAsia="標楷體" w:cs="新細明體"/>
                <w:kern w:val="0"/>
                <w:sz w:val="26"/>
                <w:szCs w:val="26"/>
              </w:rPr>
            </w:pPr>
            <w:r>
              <w:rPr>
                <w:rFonts w:hint="eastAsia" w:ascii="標楷體" w:hAnsi="標楷體" w:eastAsia="標楷體"/>
                <w:sz w:val="26"/>
                <w:szCs w:val="26"/>
              </w:rPr>
              <w:t>(5,</w:t>
            </w:r>
            <w:r>
              <w:rPr>
                <w:rFonts w:ascii="標楷體" w:hAnsi="標楷體" w:eastAsia="標楷體"/>
                <w:sz w:val="26"/>
                <w:szCs w:val="26"/>
              </w:rPr>
              <w:t>10</w:t>
            </w:r>
            <w:r>
              <w:rPr>
                <w:rFonts w:hint="eastAsia" w:ascii="標楷體" w:hAnsi="標楷體" w:eastAsia="標楷體"/>
                <w:sz w:val="26"/>
                <w:szCs w:val="26"/>
              </w:rPr>
              <w:t>)</w:t>
            </w:r>
          </w:p>
        </w:tc>
        <w:tc>
          <w:tcPr>
            <w:tcW w:w="215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widowControl/>
              <w:jc w:val="center"/>
              <w:rPr>
                <w:rFonts w:ascii="標楷體" w:hAnsi="標楷體" w:eastAsia="標楷體" w:cs="新細明體"/>
                <w:kern w:val="0"/>
                <w:sz w:val="26"/>
                <w:szCs w:val="26"/>
              </w:rPr>
            </w:pPr>
            <w:r>
              <w:rPr>
                <w:rFonts w:hint="eastAsia" w:ascii="標楷體" w:hAnsi="標楷體" w:eastAsia="標楷體"/>
                <w:sz w:val="26"/>
                <w:szCs w:val="26"/>
              </w:rPr>
              <w:t>(4</w:t>
            </w:r>
            <w:r>
              <w:rPr>
                <w:rFonts w:ascii="標楷體" w:hAnsi="標楷體" w:eastAsia="標楷體"/>
                <w:sz w:val="26"/>
                <w:szCs w:val="26"/>
              </w:rPr>
              <w:t>,</w:t>
            </w:r>
            <w:r>
              <w:rPr>
                <w:rFonts w:hint="eastAsia" w:ascii="標楷體" w:hAnsi="標楷體" w:eastAsia="標楷體"/>
                <w:sz w:val="26"/>
                <w:szCs w:val="26"/>
              </w:rPr>
              <w:t>4</w:t>
            </w:r>
            <w:r>
              <w:rPr>
                <w:rFonts w:ascii="標楷體" w:hAnsi="標楷體" w:eastAsia="標楷體"/>
                <w:sz w:val="26"/>
                <w:szCs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151" w:hRule="atLeast"/>
        </w:trPr>
        <w:tc>
          <w:tcPr>
            <w:tcW w:w="1591" w:type="dxa"/>
            <w:vMerge w:val="continue"/>
            <w:tcBorders>
              <w:top w:val="single" w:color="000000" w:sz="4" w:space="0"/>
              <w:left w:val="single" w:color="000000" w:sz="4" w:space="0"/>
              <w:bottom w:val="single" w:color="000000" w:sz="4" w:space="0"/>
              <w:right w:val="single" w:color="000000" w:sz="4" w:space="0"/>
            </w:tcBorders>
            <w:vAlign w:val="center"/>
          </w:tcPr>
          <w:p>
            <w:pPr>
              <w:widowControl/>
              <w:rPr>
                <w:rFonts w:ascii="標楷體" w:hAnsi="標楷體" w:eastAsia="標楷體" w:cs="新細明體"/>
                <w:kern w:val="0"/>
                <w:sz w:val="26"/>
                <w:szCs w:val="26"/>
              </w:rPr>
            </w:pPr>
          </w:p>
        </w:tc>
        <w:tc>
          <w:tcPr>
            <w:tcW w:w="215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widowControl/>
              <w:jc w:val="center"/>
              <w:rPr>
                <w:rFonts w:ascii="標楷體" w:hAnsi="標楷體" w:eastAsia="標楷體" w:cs="新細明體"/>
                <w:kern w:val="0"/>
                <w:sz w:val="26"/>
                <w:szCs w:val="26"/>
              </w:rPr>
            </w:pPr>
            <w:r>
              <w:rPr>
                <w:rFonts w:ascii="標楷體" w:hAnsi="標楷體" w:eastAsia="標楷體" w:cs="Times New Roman"/>
                <w:bCs/>
                <w:kern w:val="0"/>
                <w:sz w:val="26"/>
                <w:szCs w:val="26"/>
              </w:rPr>
              <w:t>不</w:t>
            </w:r>
            <w:r>
              <w:rPr>
                <w:rFonts w:hint="eastAsia" w:ascii="標楷體" w:hAnsi="標楷體" w:eastAsia="標楷體"/>
                <w:sz w:val="26"/>
                <w:szCs w:val="26"/>
              </w:rPr>
              <w:t>開放</w:t>
            </w:r>
          </w:p>
        </w:tc>
        <w:tc>
          <w:tcPr>
            <w:tcW w:w="215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jc w:val="center"/>
              <w:rPr>
                <w:rFonts w:ascii="標楷體" w:hAnsi="標楷體" w:eastAsia="標楷體" w:cs="新細明體"/>
                <w:kern w:val="0"/>
                <w:sz w:val="26"/>
                <w:szCs w:val="26"/>
              </w:rPr>
            </w:pPr>
            <w:r>
              <w:rPr>
                <w:rFonts w:hint="eastAsia" w:ascii="標楷體" w:hAnsi="標楷體" w:eastAsia="標楷體"/>
                <w:sz w:val="26"/>
                <w:szCs w:val="26"/>
              </w:rPr>
              <w:t>(-1</w:t>
            </w:r>
            <w:r>
              <w:rPr>
                <w:rFonts w:ascii="標楷體" w:hAnsi="標楷體" w:eastAsia="標楷體"/>
                <w:sz w:val="26"/>
                <w:szCs w:val="26"/>
              </w:rPr>
              <w:t>,</w:t>
            </w:r>
            <w:r>
              <w:rPr>
                <w:rFonts w:hint="eastAsia" w:ascii="標楷體" w:hAnsi="標楷體" w:eastAsia="標楷體"/>
                <w:sz w:val="26"/>
                <w:szCs w:val="26"/>
              </w:rPr>
              <w:t>9</w:t>
            </w:r>
            <w:r>
              <w:rPr>
                <w:rFonts w:ascii="標楷體" w:hAnsi="標楷體" w:eastAsia="標楷體"/>
                <w:sz w:val="26"/>
                <w:szCs w:val="26"/>
              </w:rPr>
              <w:t>)</w:t>
            </w:r>
          </w:p>
        </w:tc>
        <w:tc>
          <w:tcPr>
            <w:tcW w:w="215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widowControl/>
              <w:jc w:val="center"/>
              <w:rPr>
                <w:rFonts w:ascii="標楷體" w:hAnsi="標楷體" w:eastAsia="標楷體" w:cs="新細明體"/>
                <w:kern w:val="0"/>
                <w:sz w:val="26"/>
                <w:szCs w:val="26"/>
              </w:rPr>
            </w:pPr>
            <w:r>
              <w:rPr>
                <w:rFonts w:hint="eastAsia" w:ascii="標楷體" w:hAnsi="標楷體" w:eastAsia="標楷體"/>
                <w:sz w:val="26"/>
                <w:szCs w:val="26"/>
              </w:rPr>
              <w:t>(1</w:t>
            </w:r>
            <w:r>
              <w:rPr>
                <w:rFonts w:ascii="標楷體" w:hAnsi="標楷體" w:eastAsia="標楷體"/>
                <w:sz w:val="26"/>
                <w:szCs w:val="26"/>
              </w:rPr>
              <w:t>,</w:t>
            </w:r>
            <w:r>
              <w:rPr>
                <w:rFonts w:hint="eastAsia" w:ascii="標楷體" w:hAnsi="標楷體" w:eastAsia="標楷體"/>
                <w:sz w:val="26"/>
                <w:szCs w:val="26"/>
              </w:rPr>
              <w:t>1</w:t>
            </w:r>
            <w:r>
              <w:rPr>
                <w:rFonts w:ascii="標楷體" w:hAnsi="標楷體" w:eastAsia="標楷體"/>
                <w:sz w:val="26"/>
                <w:szCs w:val="26"/>
              </w:rPr>
              <w:t>)</w:t>
            </w:r>
          </w:p>
        </w:tc>
      </w:tr>
    </w:tbl>
    <w:p>
      <w:pPr>
        <w:pStyle w:val="7"/>
        <w:spacing w:before="0" w:beforeAutospacing="0" w:after="0" w:afterAutospacing="0"/>
        <w:rPr>
          <w:rFonts w:ascii="標楷體" w:hAnsi="標楷體" w:eastAsia="標楷體"/>
          <w:sz w:val="26"/>
          <w:szCs w:val="26"/>
        </w:rPr>
      </w:pPr>
    </w:p>
    <w:p>
      <w:pPr>
        <w:pStyle w:val="7"/>
        <w:spacing w:before="0" w:beforeAutospacing="0" w:after="0" w:afterAutospacing="0"/>
        <w:rPr>
          <w:rFonts w:ascii="標楷體" w:hAnsi="標楷體" w:eastAsia="標楷體"/>
          <w:b/>
          <w:bCs/>
          <w:sz w:val="32"/>
          <w:szCs w:val="32"/>
        </w:rPr>
      </w:pPr>
      <w:r>
        <w:rPr>
          <w:rFonts w:hint="eastAsia" w:ascii="標楷體" w:hAnsi="標楷體" w:eastAsia="標楷體"/>
          <w:b/>
          <w:bCs/>
          <w:sz w:val="32"/>
          <w:szCs w:val="32"/>
        </w:rPr>
        <w:t>納許均衡：</w:t>
      </w:r>
    </w:p>
    <w:p>
      <w:pPr>
        <w:pStyle w:val="7"/>
        <w:textAlignment w:val="baseline"/>
        <w:rPr>
          <w:rFonts w:ascii="標楷體" w:hAnsi="標楷體" w:eastAsia="標楷體" w:cs="Times New Roman"/>
          <w:sz w:val="26"/>
          <w:szCs w:val="26"/>
        </w:rPr>
      </w:pPr>
      <w:r>
        <w:rPr>
          <w:rFonts w:hint="eastAsia" w:ascii="標楷體" w:hAnsi="標楷體" w:eastAsia="標楷體" w:cs="Times New Roman"/>
          <w:sz w:val="26"/>
          <w:szCs w:val="26"/>
        </w:rPr>
        <w:t>奈許均衡是指「參賽者會猜測對方的行為，做出最佳的策略，則雙方決策的均衡點，就稱作奈許均衡。」簡單理解就是「這場賽局的結果」。</w:t>
      </w:r>
    </w:p>
    <w:p>
      <w:pPr>
        <w:pStyle w:val="7"/>
        <w:spacing w:before="0" w:beforeAutospacing="0" w:after="0" w:afterAutospacing="0"/>
        <w:rPr>
          <w:rFonts w:ascii="標楷體" w:hAnsi="標楷體" w:eastAsia="標楷體"/>
          <w:sz w:val="26"/>
          <w:szCs w:val="26"/>
        </w:rPr>
      </w:pPr>
      <w:r>
        <w:rPr>
          <w:rFonts w:ascii="標楷體" w:hAnsi="標楷體" w:eastAsia="標楷體" w:cs="Times New Roman"/>
          <w:sz w:val="26"/>
          <w:szCs w:val="26"/>
        </w:rPr>
        <w:t>納許均衡的特色：</w:t>
      </w:r>
    </w:p>
    <w:p>
      <w:pPr>
        <w:pStyle w:val="7"/>
        <w:spacing w:before="0" w:beforeAutospacing="0" w:after="0" w:afterAutospacing="0"/>
        <w:textAlignment w:val="baseline"/>
        <w:rPr>
          <w:rFonts w:ascii="標楷體" w:hAnsi="標楷體" w:eastAsia="標楷體" w:cs="Times New Roman"/>
          <w:sz w:val="26"/>
          <w:szCs w:val="26"/>
        </w:rPr>
      </w:pPr>
    </w:p>
    <w:p>
      <w:pPr>
        <w:pStyle w:val="7"/>
        <w:spacing w:before="0" w:beforeAutospacing="0" w:after="0" w:afterAutospacing="0"/>
        <w:textAlignment w:val="baseline"/>
        <w:rPr>
          <w:rFonts w:ascii="標楷體" w:hAnsi="標楷體" w:eastAsia="標楷體" w:cs="Times New Roman"/>
          <w:sz w:val="26"/>
          <w:szCs w:val="26"/>
        </w:rPr>
      </w:pPr>
      <w:r>
        <w:rPr>
          <w:rFonts w:hint="eastAsia" w:ascii="標楷體" w:hAnsi="標楷體" w:eastAsia="標楷體" w:cs="Times New Roman"/>
          <w:sz w:val="26"/>
          <w:szCs w:val="26"/>
        </w:rPr>
        <w:t>1.</w:t>
      </w:r>
      <w:r>
        <w:rPr>
          <w:rFonts w:ascii="標楷體" w:hAnsi="標楷體" w:eastAsia="標楷體" w:cs="Times New Roman"/>
          <w:sz w:val="26"/>
          <w:szCs w:val="26"/>
        </w:rPr>
        <w:t>如果其他人的策略已經確定，任何人透過實現納許均衡，都可以獲得自身最大的利益。</w:t>
      </w:r>
    </w:p>
    <w:p>
      <w:pPr>
        <w:pStyle w:val="7"/>
        <w:spacing w:before="0" w:beforeAutospacing="0" w:after="0" w:afterAutospacing="0"/>
        <w:textAlignment w:val="baseline"/>
        <w:rPr>
          <w:rFonts w:ascii="標楷體" w:hAnsi="標楷體" w:eastAsia="標楷體" w:cs="Times New Roman"/>
          <w:sz w:val="26"/>
          <w:szCs w:val="26"/>
        </w:rPr>
      </w:pPr>
      <w:r>
        <w:rPr>
          <w:rFonts w:hint="eastAsia" w:ascii="標楷體" w:hAnsi="標楷體" w:eastAsia="標楷體" w:cs="Times New Roman"/>
          <w:sz w:val="26"/>
          <w:szCs w:val="26"/>
        </w:rPr>
        <w:t>2.</w:t>
      </w:r>
      <w:r>
        <w:rPr>
          <w:rFonts w:ascii="標楷體" w:hAnsi="標楷體" w:eastAsia="標楷體" w:cs="Times New Roman"/>
          <w:sz w:val="26"/>
          <w:szCs w:val="26"/>
        </w:rPr>
        <w:t>由於參賽者是同時行動的，彼此並無協議，為自願性行動。藉由信念決定最佳反應，並依此推測其他參賽者的行動，並推斷最後結果。</w:t>
      </w:r>
    </w:p>
    <w:p>
      <w:pPr>
        <w:spacing w:line="400" w:lineRule="exact"/>
        <w:rPr>
          <w:rFonts w:ascii="標楷體" w:hAnsi="標楷體" w:eastAsia="標楷體"/>
          <w:sz w:val="26"/>
          <w:szCs w:val="26"/>
          <w:shd w:val="clear" w:color="auto" w:fill="FFFFFF"/>
        </w:rPr>
      </w:pPr>
    </w:p>
    <w:p>
      <w:pPr>
        <w:spacing w:line="400" w:lineRule="exact"/>
        <w:rPr>
          <w:rFonts w:ascii="標楷體" w:hAnsi="標楷體" w:eastAsia="標楷體"/>
          <w:sz w:val="26"/>
          <w:szCs w:val="26"/>
        </w:rPr>
      </w:pPr>
      <w:r>
        <w:rPr>
          <w:rFonts w:hint="eastAsia" w:ascii="標楷體" w:hAnsi="標楷體" w:eastAsia="標楷體"/>
          <w:sz w:val="26"/>
          <w:szCs w:val="26"/>
          <w:shd w:val="clear" w:color="auto" w:fill="FFFFFF"/>
        </w:rPr>
        <w:t>這就非常像是大企業與小公司，大企業可以開拓市場，也有很強的能力創造高營收，小企業一樣也能開拓市場與獲利。不過根據這場鳳梨進出口賽局我們可以發現，台灣最佳的策略</w:t>
      </w:r>
      <w:r>
        <w:rPr>
          <w:rStyle w:val="15"/>
          <w:rFonts w:hint="eastAsia" w:ascii="標楷體" w:hAnsi="標楷體" w:eastAsia="標楷體"/>
          <w:bCs/>
          <w:sz w:val="26"/>
          <w:szCs w:val="26"/>
          <w:shd w:val="clear" w:color="auto" w:fill="FFFFFF"/>
        </w:rPr>
        <w:t>就是</w:t>
      </w:r>
      <w:r>
        <w:rPr>
          <w:rStyle w:val="15"/>
          <w:rFonts w:hint="eastAsia" w:ascii="標楷體" w:hAnsi="標楷體" w:eastAsia="標楷體"/>
          <w:b/>
          <w:bCs/>
          <w:sz w:val="26"/>
          <w:szCs w:val="26"/>
          <w:shd w:val="clear" w:color="auto" w:fill="FFFFFF"/>
        </w:rPr>
        <w:t>「不要讓中國成為台灣農業出口的單一市場」</w:t>
      </w:r>
      <w:r>
        <w:rPr>
          <w:rFonts w:hint="eastAsia" w:ascii="標楷體" w:hAnsi="標楷體" w:eastAsia="標楷體"/>
          <w:sz w:val="26"/>
          <w:szCs w:val="26"/>
          <w:shd w:val="clear" w:color="auto" w:fill="FFFFFF"/>
        </w:rPr>
        <w:t>，要積極推廣到其他國家，例如:日本、韓國、俄羅斯這些高緯度的國家，以中國走過的道路為基礎，發展更好、更精確的市場體系才是上策！</w:t>
      </w:r>
    </w:p>
    <w:p>
      <w:pPr>
        <w:widowControl/>
        <w:rPr>
          <w:rFonts w:ascii="標楷體" w:hAnsi="標楷體" w:eastAsia="標楷體"/>
          <w:sz w:val="28"/>
          <w:szCs w:val="24"/>
        </w:rPr>
      </w:pPr>
      <w:r>
        <w:rPr>
          <w:rFonts w:ascii="標楷體" w:hAnsi="標楷體" w:eastAsia="標楷體"/>
          <w:sz w:val="28"/>
          <w:szCs w:val="24"/>
        </w:rPr>
        <w:br w:type="page"/>
      </w:r>
    </w:p>
    <w:p>
      <w:pPr>
        <w:widowControl/>
        <w:shd w:val="clear" w:color="auto" w:fill="FFFFFF"/>
        <w:spacing w:after="405"/>
        <w:jc w:val="center"/>
        <w:rPr>
          <w:rFonts w:ascii="標楷體" w:hAnsi="標楷體" w:eastAsia="標楷體"/>
          <w:bCs/>
          <w:sz w:val="52"/>
          <w:szCs w:val="52"/>
        </w:rPr>
      </w:pPr>
      <w:r>
        <w:rPr>
          <w:rFonts w:hint="eastAsia" w:ascii="標楷體" w:hAnsi="標楷體" w:eastAsia="標楷體"/>
          <w:bCs/>
          <w:sz w:val="52"/>
          <w:szCs w:val="52"/>
        </w:rPr>
        <w:t>總結</w:t>
      </w:r>
    </w:p>
    <w:p>
      <w:pPr>
        <w:widowControl/>
        <w:shd w:val="clear" w:color="auto" w:fill="FFFFFF"/>
        <w:spacing w:after="405"/>
        <w:rPr>
          <w:rFonts w:ascii="標楷體" w:hAnsi="標楷體" w:eastAsia="標楷體" w:cs="新細明體"/>
          <w:kern w:val="0"/>
          <w:sz w:val="27"/>
          <w:szCs w:val="27"/>
        </w:rPr>
      </w:pPr>
      <w:r>
        <w:rPr>
          <w:rFonts w:hint="eastAsia" w:ascii="標楷體" w:hAnsi="標楷體" w:eastAsia="標楷體" w:cs="新細明體"/>
          <w:kern w:val="0"/>
          <w:sz w:val="27"/>
          <w:szCs w:val="27"/>
        </w:rPr>
        <w:t>台灣農民應應建立更經濟導向的思維，避免依靠單一出口市場。在全球市場進行貿易時，不可不留意其中風險。</w:t>
      </w:r>
    </w:p>
    <w:p>
      <w:pPr>
        <w:widowControl/>
        <w:shd w:val="clear" w:color="auto" w:fill="FFFFFF"/>
        <w:spacing w:after="405"/>
        <w:rPr>
          <w:rFonts w:ascii="標楷體" w:hAnsi="標楷體" w:eastAsia="標楷體" w:cs="新細明體"/>
          <w:kern w:val="0"/>
          <w:sz w:val="27"/>
          <w:szCs w:val="27"/>
        </w:rPr>
      </w:pPr>
      <w:r>
        <w:rPr>
          <w:rFonts w:hint="eastAsia" w:ascii="標楷體" w:hAnsi="標楷體" w:eastAsia="標楷體" w:cs="新細明體"/>
          <w:kern w:val="0"/>
          <w:sz w:val="27"/>
          <w:szCs w:val="27"/>
        </w:rPr>
        <w:t>「希望未來農民進行出口貿易時，能理解貿易障礙(不只是關稅)的意義，並對相關貿易議題有更深入認識。如果我們真的要玩好『國際貿易』這場遊戲，當然得先弄清楚遊戲規則。」政府對鳳梨危機的回應儘管有效，但非長遠之計。農產品並非台灣經濟的核心，因此尚能以相對即興的態度因應。但考量中國未來可能實施其他禁令，我們認為政府應備齊更清楚的相關政策。</w:t>
      </w:r>
    </w:p>
    <w:p>
      <w:pPr>
        <w:widowControl/>
        <w:shd w:val="clear" w:color="auto" w:fill="FFFFFF"/>
        <w:spacing w:after="405"/>
        <w:rPr>
          <w:rFonts w:ascii="標楷體" w:hAnsi="標楷體" w:eastAsia="標楷體" w:cs="新細明體"/>
          <w:kern w:val="0"/>
          <w:sz w:val="27"/>
          <w:szCs w:val="27"/>
        </w:rPr>
      </w:pPr>
      <w:r>
        <w:rPr>
          <w:rFonts w:hint="eastAsia" w:ascii="標楷體" w:hAnsi="標楷體" w:eastAsia="標楷體" w:cs="新細明體"/>
          <w:kern w:val="0"/>
          <w:sz w:val="27"/>
          <w:szCs w:val="27"/>
        </w:rPr>
        <w:t>此外，如果政府能取得農民信任、證明相關政策不只是為了選舉或作秀，便能進一步減少農產品禁令帶來的衝擊——「政治歸政治，鳳梨歸鳳梨」。提高產品附加價值，不僅能促進出口市場多樣性、緩和對中國市場的過度依賴，更能保障農民的福利。</w:t>
      </w:r>
    </w:p>
    <w:p>
      <w:pPr>
        <w:widowControl/>
        <w:shd w:val="clear" w:color="auto" w:fill="FFFFFF"/>
        <w:spacing w:after="405"/>
        <w:rPr>
          <w:rFonts w:ascii="標楷體" w:hAnsi="標楷體" w:eastAsia="標楷體" w:cs="新細明體"/>
          <w:kern w:val="0"/>
          <w:sz w:val="27"/>
          <w:szCs w:val="27"/>
        </w:rPr>
      </w:pPr>
      <w:r>
        <w:rPr>
          <w:rFonts w:hint="eastAsia" w:ascii="標楷體" w:hAnsi="標楷體" w:eastAsia="標楷體" w:cs="新細明體"/>
          <w:kern w:val="0"/>
          <w:sz w:val="27"/>
          <w:szCs w:val="27"/>
        </w:rPr>
        <w:t>若想維持近期在日本與其他市場取得成功，單靠指責中國行徑是不夠的。</w:t>
      </w:r>
    </w:p>
    <w:p>
      <w:pPr>
        <w:widowControl/>
        <w:shd w:val="clear" w:color="auto" w:fill="FFFFFF"/>
        <w:spacing w:after="405"/>
        <w:rPr>
          <w:rFonts w:ascii="標楷體" w:hAnsi="標楷體" w:eastAsia="標楷體" w:cs="新細明體"/>
          <w:kern w:val="0"/>
          <w:sz w:val="27"/>
          <w:szCs w:val="27"/>
        </w:rPr>
      </w:pPr>
      <w:r>
        <w:rPr>
          <w:rFonts w:hint="eastAsia" w:ascii="標楷體" w:hAnsi="標楷體" w:eastAsia="標楷體" w:cs="新細明體"/>
          <w:kern w:val="0"/>
          <w:sz w:val="27"/>
          <w:szCs w:val="27"/>
        </w:rPr>
        <w:t>「我們必須增加市場多樣性。若我們珍視自由貿易的真正價值，就不能只憑善意進行貿易。」</w:t>
      </w:r>
    </w:p>
    <w:p>
      <w:pPr>
        <w:widowControl/>
        <w:shd w:val="clear" w:color="auto" w:fill="FFFFFF"/>
        <w:spacing w:after="405"/>
        <w:rPr>
          <w:rFonts w:ascii="標楷體" w:hAnsi="標楷體" w:eastAsia="標楷體" w:cs="新細明體"/>
          <w:kern w:val="0"/>
          <w:sz w:val="27"/>
          <w:szCs w:val="27"/>
        </w:rPr>
      </w:pPr>
      <w:r>
        <w:rPr>
          <w:rFonts w:hint="eastAsia" w:ascii="標楷體" w:hAnsi="標楷體" w:eastAsia="標楷體" w:cs="新細明體"/>
          <w:kern w:val="0"/>
          <w:sz w:val="27"/>
          <w:szCs w:val="27"/>
        </w:rPr>
        <w:t>往好的一面想，中國大陸「提前預知」了台灣農產銷中問題，讓我方仍有時間可以擬定對策；因此，如何化此次危機為轉機，從產品鏈高度、產品附加價值提升出發，擺脫過去長期以來農產品出口的「無計畫性」、「高依賴性」與「質量不對稱」問題，或許小小的鳳梨能為台灣農產品出口未來，譜出新的篇章。</w:t>
      </w:r>
    </w:p>
    <w:p>
      <w:pPr>
        <w:widowControl/>
        <w:shd w:val="clear" w:color="auto" w:fill="FFFFFF"/>
        <w:spacing w:after="405"/>
        <w:jc w:val="center"/>
        <w:rPr>
          <w:rFonts w:ascii="標楷體" w:hAnsi="標楷體" w:eastAsia="標楷體" w:cs="新細明體"/>
          <w:b/>
          <w:kern w:val="0"/>
          <w:sz w:val="52"/>
          <w:szCs w:val="52"/>
        </w:rPr>
      </w:pPr>
      <w:r>
        <w:rPr>
          <w:rFonts w:hint="eastAsia" w:ascii="標楷體" w:hAnsi="標楷體" w:eastAsia="標楷體" w:cs="新細明體"/>
          <w:b/>
          <w:kern w:val="0"/>
          <w:sz w:val="52"/>
          <w:szCs w:val="52"/>
        </w:rPr>
        <w:t>心得:</w:t>
      </w:r>
    </w:p>
    <w:p>
      <w:pPr>
        <w:widowControl/>
        <w:shd w:val="clear" w:color="auto" w:fill="FFFFFF"/>
        <w:spacing w:after="405"/>
        <w:rPr>
          <w:rFonts w:ascii="標楷體" w:hAnsi="標楷體" w:eastAsia="標楷體" w:cs="標楷體"/>
          <w:sz w:val="26"/>
          <w:szCs w:val="26"/>
        </w:rPr>
      </w:pPr>
      <w:r>
        <w:rPr>
          <w:rFonts w:hint="eastAsia" w:ascii="標楷體" w:hAnsi="標楷體" w:eastAsia="標楷體" w:cs="標楷體"/>
          <w:sz w:val="26"/>
          <w:szCs w:val="26"/>
        </w:rPr>
        <w:t>胡宇涵:我認為其實早就該把各項農產品分配到其他市場，而不是大量集中在中國，造成過度依賴中國的單一市場，像這次的鳳梨事件就是一個良好的例子，因為中國突如其來的政策，迫使台灣農民的鳳梨無法外銷中國，所以全台紛紛發起搶救鳳梨的活動，甚至日本、韓國政府看不下去，也向台灣購買鳳梨，跟我們一起幫助台灣的農民。</w:t>
      </w:r>
    </w:p>
    <w:p>
      <w:pPr>
        <w:widowControl/>
        <w:shd w:val="clear" w:color="auto" w:fill="FFFFFF"/>
        <w:spacing w:after="405"/>
        <w:rPr>
          <w:rFonts w:ascii="標楷體" w:hAnsi="標楷體" w:eastAsia="標楷體" w:cs="新細明體"/>
          <w:kern w:val="0"/>
          <w:sz w:val="26"/>
          <w:szCs w:val="26"/>
        </w:rPr>
      </w:pPr>
      <w:r>
        <w:rPr>
          <w:rFonts w:hint="eastAsia" w:ascii="標楷體" w:hAnsi="標楷體" w:eastAsia="標楷體" w:cs="新細明體"/>
          <w:kern w:val="0"/>
          <w:sz w:val="26"/>
          <w:szCs w:val="26"/>
        </w:rPr>
        <w:t>李旻翰:</w:t>
      </w:r>
      <w:r>
        <w:rPr>
          <w:rFonts w:hint="eastAsia"/>
        </w:rPr>
        <w:t xml:space="preserve"> </w:t>
      </w:r>
      <w:r>
        <w:rPr>
          <w:rFonts w:hint="eastAsia" w:ascii="標楷體" w:hAnsi="標楷體" w:eastAsia="標楷體" w:cs="新細明體"/>
          <w:kern w:val="0"/>
          <w:sz w:val="26"/>
          <w:szCs w:val="26"/>
        </w:rPr>
        <w:t>通過這次的報告我才知道台灣是多麼依賴中國這個市場，生鮮鳳梨出口量是逐年得上升，然而這次鳳梨事件也告訴了我們過度依賴一個市場是不好的，當說變就變時，整批貨會無所適從，從報告中我也覺得蛛網模型很有趣，可以透過分析上一期來判斷下一步棋要怎麼下，雖然其中可能會有意識行為左右，但蛛網模型確實是不錯的分析模型，種植這種東西本來就跟投資一樣，沒有所謂的穩賺不賠，多種分析多方思考，才能找到最優的方案，有興趣的人也可以看看，說不定未來能幫助自己賺錢。</w:t>
      </w:r>
    </w:p>
    <w:p>
      <w:pPr>
        <w:rPr>
          <w:rFonts w:ascii="標楷體" w:hAnsi="標楷體" w:eastAsia="標楷體"/>
          <w:sz w:val="26"/>
          <w:szCs w:val="26"/>
        </w:rPr>
      </w:pPr>
      <w:r>
        <w:rPr>
          <w:rFonts w:hint="eastAsia" w:ascii="標楷體" w:hAnsi="標楷體" w:eastAsia="標楷體" w:cs="新細明體"/>
          <w:kern w:val="0"/>
          <w:sz w:val="26"/>
          <w:szCs w:val="26"/>
        </w:rPr>
        <w:t>陳冠瑋:</w:t>
      </w:r>
      <w:r>
        <w:rPr>
          <w:rFonts w:hint="eastAsia" w:ascii="標楷體" w:hAnsi="標楷體" w:eastAsia="標楷體"/>
          <w:sz w:val="26"/>
          <w:szCs w:val="26"/>
        </w:rPr>
        <w:t xml:space="preserve"> 這次鳳梨事件對台灣造成的影響讓我了解到台灣農業在國際上面臨的困境，以及因為兩岸政治鬥爭引發的問題，我們的外銷數量龐大，但大多都銷往中國，形成了單一市場，這對我們很不利，經過分析後我們發現銷往中國的銷量占比有逐年降低，但還不足以改變現況，未來可以考慮其他高緯度的國家，就像雞蛋不能放在同個籃子裡，必須要分散風險來擺脫中國對台灣外銷市場的掌控。</w:t>
      </w:r>
    </w:p>
    <w:p>
      <w:pPr>
        <w:rPr>
          <w:rFonts w:ascii="標楷體" w:hAnsi="標楷體" w:eastAsia="標楷體"/>
          <w:sz w:val="26"/>
          <w:szCs w:val="26"/>
        </w:rPr>
      </w:pPr>
    </w:p>
    <w:p>
      <w:pPr>
        <w:widowControl/>
        <w:shd w:val="clear" w:color="auto" w:fill="FFFFFF"/>
        <w:spacing w:after="405"/>
        <w:rPr>
          <w:rFonts w:ascii="標楷體" w:hAnsi="標楷體" w:eastAsia="標楷體" w:cs="新細明體"/>
          <w:kern w:val="0"/>
          <w:sz w:val="26"/>
          <w:szCs w:val="26"/>
        </w:rPr>
      </w:pPr>
      <w:r>
        <w:rPr>
          <w:rFonts w:hint="eastAsia" w:ascii="標楷體" w:hAnsi="標楷體" w:eastAsia="標楷體" w:cs="新細明體"/>
          <w:kern w:val="0"/>
          <w:sz w:val="26"/>
          <w:szCs w:val="26"/>
        </w:rPr>
        <w:t>李昀潔:覺得任何事都一樣，台灣確實太依賴中國經濟，追求單一市場，鳳梨事件可能只是個開始，現在台灣農業要做的就是「分散風險」，不要一昧地把雞蛋都放在同一個籃子裡，吃虧的總會是我們，中國不會受太大的影響，畢竟他們任何能力都來的台灣強大很多。這次事件是給我們一個警惕，也是中國大陸的「養套殺」套路，不想被欺壓的話，無論是政治抑或商業方面，與中國適當的脫鉤我覺得是可以接受的，台灣農家也需要更多商業思維，農產品的外銷產業鏈才會比起以往發展的更成功。</w:t>
      </w:r>
    </w:p>
    <w:p>
      <w:pPr>
        <w:widowControl/>
        <w:shd w:val="clear" w:color="auto" w:fill="FFFFFF"/>
        <w:spacing w:after="405"/>
        <w:rPr>
          <w:rFonts w:ascii="標楷體" w:hAnsi="標楷體" w:eastAsia="標楷體" w:cs="新細明體"/>
          <w:kern w:val="0"/>
          <w:sz w:val="26"/>
          <w:szCs w:val="26"/>
        </w:rPr>
      </w:pPr>
      <w:r>
        <w:rPr>
          <w:rFonts w:hint="eastAsia" w:ascii="標楷體" w:hAnsi="標楷體" w:eastAsia="標楷體" w:cs="新細明體"/>
          <w:kern w:val="0"/>
          <w:sz w:val="26"/>
          <w:szCs w:val="26"/>
        </w:rPr>
        <w:t>鄭又馨:我個人認為農產品的技術跟標準可能不是重點，主因政治問題卡關、鳳梨外銷高達9成都是銷往中國大陸，忽略了雞蛋不可放在同個籃子裡的結論。這次事件代表必須選擇其他市場來分散風險。使用刪去法排除中國市場後，才能有覺悟把冷鏈物流，符合銷售市場的農產品標準訂立。在日本果農業市場中，泰國的香蕉打敗台灣的香蕉，其中作法值得借鑑與參考。可能這次能透過國人購買鳳梨，政黨大動作號召企業認購鳳梨，雖度過這場危機，但這並非完善的長久之計！接下來要未雨綢繆，出口到中國大陸依存度很高的水果，例如柚子、釋迦、蓮霧等，也都有可能遭到中國大陸的反制，應全面做好規劃、避免再次發生。</w:t>
      </w:r>
    </w:p>
    <w:p>
      <w:pPr>
        <w:widowControl/>
        <w:shd w:val="clear" w:color="auto" w:fill="FFFFFF"/>
        <w:spacing w:after="405"/>
        <w:jc w:val="center"/>
        <w:rPr>
          <w:rFonts w:ascii="標楷體" w:hAnsi="標楷體" w:eastAsia="標楷體" w:cs="新細明體"/>
          <w:kern w:val="0"/>
          <w:sz w:val="52"/>
          <w:szCs w:val="52"/>
        </w:rPr>
      </w:pPr>
      <w:r>
        <w:rPr>
          <w:rFonts w:hint="eastAsia" w:ascii="標楷體" w:hAnsi="標楷體" w:eastAsia="標楷體" w:cs="新細明體"/>
          <w:kern w:val="0"/>
          <w:sz w:val="52"/>
          <w:szCs w:val="52"/>
        </w:rPr>
        <w:t>參考文獻</w:t>
      </w:r>
    </w:p>
    <w:p>
      <w:pPr>
        <w:numPr>
          <w:ilvl w:val="0"/>
          <w:numId w:val="3"/>
        </w:numPr>
        <w:rPr>
          <w:rFonts w:ascii="標楷體" w:hAnsi="標楷體" w:eastAsia="標楷體" w:cs="標楷體"/>
          <w:sz w:val="27"/>
          <w:szCs w:val="27"/>
        </w:rPr>
      </w:pPr>
      <w:r>
        <w:rPr>
          <w:rFonts w:hint="eastAsia" w:ascii="標楷體" w:hAnsi="標楷體" w:eastAsia="標楷體" w:cs="新細明體"/>
          <w:kern w:val="0"/>
          <w:sz w:val="27"/>
          <w:szCs w:val="27"/>
        </w:rPr>
        <w:t xml:space="preserve">林惠珍 2021 </w:t>
      </w:r>
      <w:r>
        <w:rPr>
          <w:rFonts w:hint="eastAsia" w:ascii="標楷體" w:hAnsi="標楷體" w:eastAsia="標楷體" w:cs="標楷體"/>
          <w:sz w:val="27"/>
          <w:szCs w:val="27"/>
        </w:rPr>
        <w:t>6年內2度遭中國突襲，台灣鳳梨如何跳脫「養套殺」外銷迴圈？</w:t>
      </w:r>
    </w:p>
    <w:p>
      <w:pPr>
        <w:rPr>
          <w:rFonts w:ascii="標楷體" w:hAnsi="標楷體" w:eastAsia="標楷體" w:cs="標楷體"/>
          <w:sz w:val="27"/>
          <w:szCs w:val="27"/>
        </w:rPr>
      </w:pPr>
    </w:p>
    <w:p>
      <w:pPr>
        <w:numPr>
          <w:ilvl w:val="0"/>
          <w:numId w:val="4"/>
        </w:numPr>
        <w:rPr>
          <w:rFonts w:ascii="標楷體" w:hAnsi="標楷體" w:eastAsia="標楷體" w:cs="標楷體"/>
          <w:sz w:val="27"/>
          <w:szCs w:val="27"/>
        </w:rPr>
      </w:pPr>
      <w:r>
        <w:rPr>
          <w:rFonts w:hint="eastAsia" w:ascii="標楷體" w:hAnsi="標楷體" w:eastAsia="標楷體" w:cs="標楷體"/>
          <w:color w:val="333333"/>
          <w:sz w:val="27"/>
          <w:szCs w:val="27"/>
          <w:shd w:val="clear" w:color="auto" w:fill="FFFFFF"/>
        </w:rPr>
        <w:t xml:space="preserve">呂政璋 2016 </w:t>
      </w:r>
      <w:r>
        <w:rPr>
          <w:rFonts w:hint="eastAsia" w:ascii="標楷體" w:hAnsi="標楷體" w:eastAsia="標楷體" w:cs="標楷體"/>
          <w:sz w:val="27"/>
          <w:szCs w:val="27"/>
        </w:rPr>
        <w:t>台灣水果外銷問題(二)</w:t>
      </w:r>
    </w:p>
    <w:p>
      <w:pPr>
        <w:rPr>
          <w:rFonts w:ascii="標楷體" w:hAnsi="標楷體" w:eastAsia="標楷體" w:cs="標楷體"/>
          <w:sz w:val="27"/>
          <w:szCs w:val="27"/>
        </w:rPr>
      </w:pPr>
    </w:p>
    <w:p>
      <w:pPr>
        <w:numPr>
          <w:ilvl w:val="0"/>
          <w:numId w:val="5"/>
        </w:numPr>
        <w:rPr>
          <w:rFonts w:ascii="標楷體" w:hAnsi="標楷體" w:eastAsia="標楷體" w:cs="標楷體"/>
          <w:sz w:val="27"/>
          <w:szCs w:val="27"/>
        </w:rPr>
      </w:pPr>
      <w:r>
        <w:rPr>
          <w:rFonts w:hint="eastAsia" w:ascii="標楷體" w:hAnsi="標楷體" w:eastAsia="標楷體" w:cs="標楷體"/>
          <w:sz w:val="27"/>
          <w:szCs w:val="27"/>
        </w:rPr>
        <w:t>官青杉、唐佳惠、李柔誼 2016 參考鳳梨產期調節研究發展與產業調適</w:t>
      </w:r>
    </w:p>
    <w:p>
      <w:pPr>
        <w:rPr>
          <w:rFonts w:ascii="標楷體" w:hAnsi="標楷體" w:eastAsia="標楷體" w:cs="標楷體"/>
          <w:sz w:val="27"/>
          <w:szCs w:val="27"/>
        </w:rPr>
      </w:pPr>
    </w:p>
    <w:p>
      <w:pPr>
        <w:rPr>
          <w:rFonts w:ascii="標楷體" w:hAnsi="標楷體" w:eastAsia="標楷體" w:cs="標楷體"/>
          <w:sz w:val="27"/>
          <w:szCs w:val="27"/>
        </w:rPr>
      </w:pPr>
      <w:r>
        <w:rPr>
          <w:rFonts w:hint="eastAsia" w:ascii="標楷體" w:hAnsi="標楷體" w:eastAsia="標楷體" w:cs="標楷體"/>
          <w:sz w:val="27"/>
          <w:szCs w:val="27"/>
        </w:rPr>
        <w:t>4.Business Digest 2021 【鳳梨大戰】中國突然禁進口台灣鳳梨，對台影響力會有多大？</w:t>
      </w:r>
    </w:p>
    <w:p>
      <w:pPr>
        <w:rPr>
          <w:rFonts w:ascii="標楷體" w:hAnsi="標楷體" w:eastAsia="標楷體" w:cs="標楷體"/>
          <w:bCs/>
          <w:color w:val="142D56"/>
          <w:sz w:val="27"/>
          <w:szCs w:val="27"/>
        </w:rPr>
      </w:pPr>
    </w:p>
    <w:p>
      <w:pPr>
        <w:numPr>
          <w:ilvl w:val="0"/>
          <w:numId w:val="6"/>
        </w:numPr>
        <w:rPr>
          <w:rFonts w:ascii="標楷體" w:hAnsi="標楷體" w:eastAsia="標楷體" w:cs="標楷體"/>
          <w:sz w:val="27"/>
          <w:szCs w:val="27"/>
        </w:rPr>
      </w:pPr>
      <w:r>
        <w:rPr>
          <w:rFonts w:hint="eastAsia" w:ascii="標楷體" w:hAnsi="標楷體" w:eastAsia="標楷體" w:cs="標楷體"/>
          <w:sz w:val="27"/>
          <w:szCs w:val="27"/>
        </w:rPr>
        <w:t>行政院農委會 2006 鳳梨產業文化與歷史</w:t>
      </w:r>
    </w:p>
    <w:p>
      <w:pPr>
        <w:rPr>
          <w:rFonts w:ascii="標楷體" w:hAnsi="標楷體" w:eastAsia="標楷體" w:cs="標楷體"/>
          <w:sz w:val="27"/>
          <w:szCs w:val="27"/>
        </w:rPr>
      </w:pPr>
    </w:p>
    <w:p>
      <w:pPr>
        <w:numPr>
          <w:ilvl w:val="0"/>
          <w:numId w:val="7"/>
        </w:numPr>
        <w:rPr>
          <w:rFonts w:ascii="標楷體" w:hAnsi="標楷體" w:eastAsia="標楷體" w:cs="標楷體"/>
          <w:sz w:val="27"/>
          <w:szCs w:val="27"/>
        </w:rPr>
      </w:pPr>
      <w:r>
        <w:rPr>
          <w:rFonts w:hint="eastAsia" w:ascii="標楷體" w:hAnsi="標楷體" w:eastAsia="標楷體" w:cs="標楷體"/>
          <w:sz w:val="27"/>
          <w:szCs w:val="27"/>
        </w:rPr>
        <w:t>行政院農業委員會 2021 挺臺灣鳳梨！政府推外銷獎補助計畫、產銷履歷前進東京奧運！</w:t>
      </w:r>
    </w:p>
    <w:p>
      <w:pPr>
        <w:rPr>
          <w:rFonts w:ascii="標楷體" w:hAnsi="標楷體" w:eastAsia="標楷體" w:cs="標楷體"/>
          <w:sz w:val="27"/>
          <w:szCs w:val="27"/>
        </w:rPr>
      </w:pPr>
    </w:p>
    <w:p>
      <w:pPr>
        <w:rPr>
          <w:rFonts w:ascii="標楷體" w:hAnsi="標楷體" w:eastAsia="標楷體" w:cs="標楷體"/>
          <w:sz w:val="27"/>
          <w:szCs w:val="27"/>
        </w:rPr>
      </w:pPr>
      <w:r>
        <w:rPr>
          <w:rFonts w:hint="eastAsia" w:ascii="標楷體" w:hAnsi="標楷體" w:eastAsia="標楷體" w:cs="標楷體"/>
          <w:sz w:val="27"/>
          <w:szCs w:val="27"/>
        </w:rPr>
        <w:t>7.BBC NEWS 2021 中國暫緩進口台產鳳梨 燒出台灣「農產品產業鏈」單一市場依賴焦慮</w:t>
      </w:r>
    </w:p>
    <w:p>
      <w:pPr>
        <w:rPr>
          <w:rFonts w:ascii="標楷體" w:hAnsi="標楷體" w:eastAsia="標楷體" w:cs="標楷體"/>
          <w:sz w:val="27"/>
          <w:szCs w:val="27"/>
        </w:rPr>
      </w:pPr>
    </w:p>
    <w:p>
      <w:pPr>
        <w:numPr>
          <w:ilvl w:val="0"/>
          <w:numId w:val="8"/>
        </w:numPr>
        <w:rPr>
          <w:rFonts w:ascii="標楷體" w:hAnsi="標楷體" w:eastAsia="標楷體" w:cs="標楷體"/>
          <w:sz w:val="27"/>
          <w:szCs w:val="27"/>
        </w:rPr>
      </w:pPr>
      <w:r>
        <w:rPr>
          <w:rFonts w:hint="eastAsia" w:ascii="標楷體" w:hAnsi="標楷體" w:eastAsia="標楷體" w:cs="標楷體"/>
          <w:sz w:val="27"/>
          <w:szCs w:val="27"/>
        </w:rPr>
        <w:t>廣西農業訊息網 2018 「10+3」水果產業：做八大特色產業，改造六大提升行動</w:t>
      </w:r>
    </w:p>
    <w:p>
      <w:pPr>
        <w:rPr>
          <w:rFonts w:ascii="標楷體" w:hAnsi="標楷體" w:eastAsia="標楷體" w:cs="標楷體"/>
          <w:sz w:val="27"/>
          <w:szCs w:val="27"/>
        </w:rPr>
      </w:pPr>
    </w:p>
    <w:p>
      <w:pPr>
        <w:numPr>
          <w:ilvl w:val="0"/>
          <w:numId w:val="9"/>
        </w:numPr>
        <w:rPr>
          <w:rFonts w:ascii="標楷體" w:hAnsi="標楷體" w:eastAsia="標楷體" w:cs="標楷體"/>
          <w:sz w:val="27"/>
          <w:szCs w:val="27"/>
        </w:rPr>
      </w:pPr>
      <w:r>
        <w:rPr>
          <w:rFonts w:hint="eastAsia" w:ascii="標楷體" w:hAnsi="標楷體" w:eastAsia="標楷體" w:cs="標楷體"/>
          <w:sz w:val="27"/>
          <w:szCs w:val="27"/>
        </w:rPr>
        <w:t>楊雅惠 2013 我國有機農業發展及經營性分析</w:t>
      </w:r>
    </w:p>
    <w:p>
      <w:pPr>
        <w:rPr>
          <w:rFonts w:ascii="標楷體" w:hAnsi="標楷體" w:eastAsia="標楷體" w:cs="標楷體"/>
          <w:sz w:val="27"/>
          <w:szCs w:val="27"/>
        </w:rPr>
      </w:pPr>
    </w:p>
    <w:p>
      <w:pPr>
        <w:numPr>
          <w:ilvl w:val="0"/>
          <w:numId w:val="10"/>
        </w:numPr>
        <w:shd w:val="solid" w:color="FFFFFF" w:fill="auto"/>
        <w:autoSpaceDN w:val="0"/>
        <w:spacing w:line="240" w:lineRule="atLeast"/>
        <w:textAlignment w:val="baseline"/>
        <w:rPr>
          <w:rFonts w:ascii="標楷體" w:hAnsi="標楷體" w:eastAsia="標楷體" w:cs="標楷體"/>
          <w:sz w:val="27"/>
          <w:szCs w:val="27"/>
        </w:rPr>
      </w:pPr>
      <w:r>
        <w:rPr>
          <w:rFonts w:hint="eastAsia" w:ascii="標楷體" w:hAnsi="標楷體" w:eastAsia="標楷體" w:cs="標楷體"/>
          <w:sz w:val="27"/>
          <w:szCs w:val="27"/>
        </w:rPr>
        <w:t>黃美華</w:t>
      </w:r>
      <w:r>
        <w:rPr>
          <w:rFonts w:hint="eastAsia" w:ascii="標楷體" w:hAnsi="標楷體" w:eastAsia="標楷體" w:cs="標楷體"/>
          <w:color w:val="000000"/>
          <w:spacing w:val="20"/>
          <w:sz w:val="27"/>
          <w:szCs w:val="27"/>
          <w:shd w:val="clear" w:color="auto" w:fill="FFFFFF"/>
        </w:rPr>
        <w:t xml:space="preserve"> 2002 </w:t>
      </w:r>
      <w:r>
        <w:rPr>
          <w:rFonts w:hint="eastAsia" w:ascii="標楷體" w:hAnsi="標楷體" w:eastAsia="標楷體" w:cs="標楷體"/>
          <w:sz w:val="27"/>
          <w:szCs w:val="27"/>
        </w:rPr>
        <w:t>台灣果樹產業結構調整現況</w:t>
      </w:r>
    </w:p>
    <w:p>
      <w:pPr>
        <w:shd w:val="solid" w:color="FFFFFF" w:fill="auto"/>
        <w:autoSpaceDN w:val="0"/>
        <w:spacing w:line="240" w:lineRule="atLeast"/>
        <w:textAlignment w:val="baseline"/>
        <w:rPr>
          <w:rFonts w:ascii="標楷體" w:hAnsi="標楷體" w:eastAsia="標楷體" w:cs="標楷體"/>
          <w:sz w:val="27"/>
          <w:szCs w:val="27"/>
        </w:rPr>
      </w:pPr>
    </w:p>
    <w:p>
      <w:pPr>
        <w:numPr>
          <w:ilvl w:val="0"/>
          <w:numId w:val="11"/>
        </w:numPr>
        <w:rPr>
          <w:rFonts w:ascii="標楷體" w:hAnsi="標楷體" w:eastAsia="標楷體" w:cs="標楷體"/>
          <w:sz w:val="27"/>
          <w:szCs w:val="27"/>
        </w:rPr>
      </w:pPr>
      <w:r>
        <w:rPr>
          <w:rFonts w:hint="eastAsia" w:ascii="標楷體" w:hAnsi="標楷體" w:eastAsia="標楷體" w:cs="標楷體"/>
          <w:sz w:val="27"/>
          <w:szCs w:val="27"/>
        </w:rPr>
        <w:t>蕭婷方 2021 台灣鳳梨外銷怎麼回事？兩岸水果戰爭是政治操作還是中國另有考量</w:t>
      </w:r>
    </w:p>
    <w:p>
      <w:pPr>
        <w:rPr>
          <w:rFonts w:ascii="標楷體" w:hAnsi="標楷體" w:eastAsia="標楷體" w:cs="標楷體"/>
          <w:sz w:val="27"/>
          <w:szCs w:val="27"/>
        </w:rPr>
      </w:pPr>
    </w:p>
    <w:p>
      <w:pPr>
        <w:rPr>
          <w:rFonts w:ascii="標楷體" w:hAnsi="標楷體" w:eastAsia="標楷體" w:cs="標楷體"/>
          <w:sz w:val="27"/>
          <w:szCs w:val="27"/>
        </w:rPr>
      </w:pPr>
      <w:r>
        <w:rPr>
          <w:rFonts w:hint="eastAsia" w:ascii="標楷體" w:hAnsi="標楷體" w:eastAsia="標楷體" w:cs="標楷體"/>
          <w:sz w:val="27"/>
          <w:szCs w:val="27"/>
        </w:rPr>
        <w:t>12.楊淑閔 2021 農委會：鳳梨銷中國占產量1成 拉抬國內銷量可穩價</w:t>
      </w:r>
    </w:p>
    <w:p>
      <w:pPr>
        <w:rPr>
          <w:rFonts w:ascii="標楷體" w:hAnsi="標楷體" w:eastAsia="標楷體" w:cs="標楷體"/>
          <w:sz w:val="27"/>
          <w:szCs w:val="27"/>
        </w:rPr>
      </w:pPr>
    </w:p>
    <w:p>
      <w:pPr>
        <w:shd w:val="solid" w:color="FFFFFF" w:fill="auto"/>
        <w:autoSpaceDN w:val="0"/>
        <w:spacing w:line="18" w:lineRule="atLeast"/>
        <w:rPr>
          <w:rFonts w:ascii="標楷體" w:hAnsi="標楷體" w:eastAsia="標楷體" w:cs="標楷體"/>
          <w:bCs/>
          <w:color w:val="111111"/>
          <w:sz w:val="27"/>
          <w:szCs w:val="27"/>
          <w:shd w:val="clear" w:color="auto" w:fill="FFFFFF"/>
        </w:rPr>
      </w:pPr>
      <w:r>
        <w:rPr>
          <w:rFonts w:hint="eastAsia" w:ascii="標楷體" w:hAnsi="標楷體" w:eastAsia="標楷體" w:cs="標楷體"/>
          <w:sz w:val="27"/>
          <w:szCs w:val="27"/>
        </w:rPr>
        <w:t xml:space="preserve">13.林怡均 2021 </w:t>
      </w:r>
      <w:r>
        <w:rPr>
          <w:rFonts w:hint="eastAsia" w:ascii="標楷體" w:hAnsi="標楷體" w:eastAsia="標楷體" w:cs="標楷體"/>
          <w:bCs/>
          <w:color w:val="111111"/>
          <w:sz w:val="27"/>
          <w:szCs w:val="27"/>
          <w:shd w:val="clear" w:color="auto" w:fill="FFFFFF"/>
        </w:rPr>
        <w:t>【評論】分手政治，讓農產外銷走專業的路：中國禁運鳳梨的教訓</w:t>
      </w:r>
    </w:p>
    <w:p>
      <w:pPr>
        <w:shd w:val="solid" w:color="FFFFFF" w:fill="auto"/>
        <w:autoSpaceDN w:val="0"/>
        <w:spacing w:line="240" w:lineRule="atLeast"/>
        <w:textAlignment w:val="baseline"/>
        <w:rPr>
          <w:rFonts w:ascii="標楷體" w:hAnsi="標楷體" w:eastAsia="標楷體" w:cs="標楷體"/>
          <w:sz w:val="27"/>
          <w:szCs w:val="27"/>
        </w:rPr>
      </w:pPr>
    </w:p>
    <w:p>
      <w:pPr>
        <w:numPr>
          <w:ilvl w:val="0"/>
          <w:numId w:val="12"/>
        </w:numPr>
        <w:autoSpaceDN w:val="0"/>
        <w:spacing w:after="375" w:line="23" w:lineRule="atLeast"/>
        <w:textAlignment w:val="baseline"/>
        <w:rPr>
          <w:rFonts w:ascii="標楷體" w:hAnsi="標楷體" w:eastAsia="標楷體" w:cs="標楷體"/>
          <w:color w:val="333333"/>
          <w:sz w:val="27"/>
          <w:szCs w:val="27"/>
        </w:rPr>
      </w:pPr>
      <w:r>
        <w:rPr>
          <w:rFonts w:hint="eastAsia" w:ascii="標楷體" w:hAnsi="標楷體" w:eastAsia="標楷體" w:cs="標楷體"/>
          <w:sz w:val="27"/>
          <w:szCs w:val="27"/>
        </w:rPr>
        <w:t xml:space="preserve">鬼才阿水 2021 </w:t>
      </w:r>
      <w:r>
        <w:rPr>
          <w:rFonts w:hint="eastAsia" w:ascii="標楷體" w:hAnsi="標楷體" w:eastAsia="標楷體" w:cs="標楷體"/>
          <w:color w:val="333333"/>
          <w:sz w:val="27"/>
          <w:szCs w:val="27"/>
        </w:rPr>
        <w:t>中國禁鳳梨》鬼才阿水／中共剛攻擊台灣「旺來」　這次又為何而來？</w:t>
      </w:r>
    </w:p>
    <w:p>
      <w:pPr>
        <w:numPr>
          <w:ilvl w:val="0"/>
          <w:numId w:val="13"/>
        </w:numPr>
        <w:rPr>
          <w:rFonts w:ascii="標楷體" w:hAnsi="標楷體" w:eastAsia="標楷體" w:cs="標楷體"/>
          <w:sz w:val="27"/>
          <w:szCs w:val="27"/>
        </w:rPr>
      </w:pPr>
      <w:r>
        <w:rPr>
          <w:rFonts w:hint="eastAsia" w:ascii="標楷體" w:hAnsi="標楷體" w:eastAsia="標楷體" w:cs="標楷體"/>
          <w:sz w:val="27"/>
          <w:szCs w:val="27"/>
        </w:rPr>
        <w:t>江昺崙 2021 名家觀點／禁鳳梨 中國「水果統戰」破局徵兆</w:t>
      </w:r>
    </w:p>
    <w:p>
      <w:pPr>
        <w:rPr>
          <w:rFonts w:ascii="標楷體" w:hAnsi="標楷體" w:eastAsia="標楷體" w:cs="標楷體"/>
          <w:sz w:val="27"/>
          <w:szCs w:val="27"/>
        </w:rPr>
      </w:pPr>
    </w:p>
    <w:p>
      <w:pPr>
        <w:numPr>
          <w:ilvl w:val="0"/>
          <w:numId w:val="14"/>
        </w:numPr>
        <w:autoSpaceDN w:val="0"/>
        <w:spacing w:after="375" w:line="23" w:lineRule="atLeast"/>
        <w:textAlignment w:val="baseline"/>
        <w:rPr>
          <w:rFonts w:ascii="標楷體" w:hAnsi="標楷體" w:eastAsia="標楷體" w:cs="標楷體"/>
          <w:color w:val="333333"/>
          <w:sz w:val="27"/>
          <w:szCs w:val="27"/>
        </w:rPr>
      </w:pPr>
      <w:r>
        <w:rPr>
          <w:rFonts w:hint="eastAsia" w:ascii="標楷體" w:hAnsi="標楷體" w:eastAsia="標楷體" w:cs="標楷體"/>
          <w:color w:val="333333"/>
          <w:sz w:val="27"/>
          <w:szCs w:val="27"/>
        </w:rPr>
        <w:t>葉守禮 2015 參考小農經濟現代變遷:東勢果農的商品化之路</w:t>
      </w:r>
    </w:p>
    <w:p>
      <w:pPr>
        <w:numPr>
          <w:ilvl w:val="0"/>
          <w:numId w:val="14"/>
        </w:numPr>
        <w:autoSpaceDN w:val="0"/>
        <w:spacing w:after="375" w:line="23" w:lineRule="atLeast"/>
        <w:textAlignment w:val="baseline"/>
        <w:rPr>
          <w:rFonts w:ascii="標楷體" w:hAnsi="標楷體" w:eastAsia="標楷體" w:cs="標楷體"/>
          <w:color w:val="333333"/>
          <w:sz w:val="27"/>
          <w:szCs w:val="27"/>
        </w:rPr>
      </w:pPr>
      <w:r>
        <w:rPr>
          <w:rFonts w:hint="eastAsia" w:ascii="標楷體" w:hAnsi="標楷體" w:eastAsia="標楷體" w:cs="標楷體"/>
          <w:color w:val="333333"/>
          <w:sz w:val="27"/>
          <w:szCs w:val="27"/>
        </w:rPr>
        <w:t>柯志明 1990 參考日據台灣農村之商品化與小農經濟之形成</w:t>
      </w:r>
    </w:p>
    <w:p>
      <w:pPr>
        <w:numPr>
          <w:ilvl w:val="0"/>
          <w:numId w:val="14"/>
        </w:numPr>
        <w:autoSpaceDN w:val="0"/>
        <w:spacing w:after="375" w:line="23" w:lineRule="atLeast"/>
        <w:textAlignment w:val="baseline"/>
        <w:rPr>
          <w:rFonts w:ascii="標楷體" w:hAnsi="標楷體" w:eastAsia="標楷體" w:cs="標楷體"/>
          <w:color w:val="333333"/>
          <w:sz w:val="27"/>
          <w:szCs w:val="27"/>
        </w:rPr>
      </w:pPr>
      <w:r>
        <w:rPr>
          <w:rFonts w:hint="eastAsia" w:ascii="標楷體" w:hAnsi="標楷體" w:eastAsia="標楷體" w:cs="標楷體"/>
          <w:color w:val="333333"/>
          <w:sz w:val="27"/>
          <w:szCs w:val="27"/>
        </w:rPr>
        <w:t>陳琦珊 2018 參考作物、食物到禮物:台灣鳳梨社會生命的轉換辯證</w:t>
      </w:r>
    </w:p>
    <w:p>
      <w:pPr>
        <w:numPr>
          <w:ilvl w:val="0"/>
          <w:numId w:val="15"/>
        </w:numPr>
        <w:shd w:val="solid" w:color="FFFFFF" w:fill="auto"/>
        <w:autoSpaceDN w:val="0"/>
        <w:rPr>
          <w:rFonts w:ascii="標楷體" w:hAnsi="標楷體" w:eastAsia="標楷體" w:cs="標楷體"/>
          <w:sz w:val="27"/>
          <w:szCs w:val="27"/>
        </w:rPr>
      </w:pPr>
      <w:r>
        <w:rPr>
          <w:rFonts w:hint="eastAsia" w:ascii="標楷體" w:hAnsi="標楷體" w:eastAsia="標楷體" w:cs="標楷體"/>
          <w:color w:val="333333"/>
          <w:sz w:val="27"/>
          <w:szCs w:val="27"/>
        </w:rPr>
        <w:t>MoneyDJ理財網</w:t>
      </w:r>
      <w:r>
        <w:rPr>
          <w:rFonts w:hint="eastAsia" w:ascii="標楷體" w:hAnsi="標楷體" w:eastAsia="標楷體" w:cs="標楷體"/>
          <w:sz w:val="27"/>
          <w:szCs w:val="27"/>
        </w:rPr>
        <w:t xml:space="preserve"> 蛛網理論</w:t>
      </w:r>
    </w:p>
    <w:p>
      <w:pPr>
        <w:shd w:val="solid" w:color="FFFFFF" w:fill="auto"/>
        <w:autoSpaceDN w:val="0"/>
        <w:rPr>
          <w:rFonts w:ascii="標楷體" w:hAnsi="標楷體" w:eastAsia="標楷體" w:cs="標楷體"/>
          <w:sz w:val="27"/>
          <w:szCs w:val="27"/>
        </w:rPr>
      </w:pPr>
    </w:p>
    <w:p>
      <w:pPr>
        <w:shd w:val="solid" w:color="FFFFFF" w:fill="auto"/>
        <w:autoSpaceDN w:val="0"/>
        <w:rPr>
          <w:rFonts w:ascii="標楷體" w:hAnsi="標楷體" w:eastAsia="標楷體" w:cs="標楷體"/>
          <w:sz w:val="27"/>
          <w:szCs w:val="27"/>
        </w:rPr>
      </w:pPr>
      <w:r>
        <w:rPr>
          <w:rFonts w:hint="eastAsia" w:ascii="標楷體" w:hAnsi="標楷體" w:eastAsia="標楷體" w:cs="標楷體"/>
          <w:sz w:val="27"/>
          <w:szCs w:val="27"/>
        </w:rPr>
        <w:t xml:space="preserve">20.維基百科 蛛網理論 </w:t>
      </w:r>
    </w:p>
    <w:p>
      <w:pPr>
        <w:widowControl/>
        <w:shd w:val="clear" w:color="auto" w:fill="FFFFFF"/>
        <w:spacing w:after="405"/>
        <w:rPr>
          <w:rFonts w:ascii="標楷體" w:hAnsi="標楷體" w:eastAsia="標楷體" w:cs="新細明體"/>
          <w:kern w:val="0"/>
          <w:sz w:val="26"/>
          <w:szCs w:val="26"/>
        </w:rPr>
      </w:pPr>
    </w:p>
    <w:sectPr>
      <w:pgSz w:w="11906" w:h="16838"/>
      <w:pgMar w:top="1440" w:right="1800" w:bottom="1440" w:left="1800" w:header="851" w:footer="992" w:gutter="0"/>
      <w:cols w:space="425"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Sun"/>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00"/>
    <w:family w:val="auto"/>
    <w:pitch w:val="default"/>
    <w:sig w:usb0="E4002EFF" w:usb1="C000247B" w:usb2="00000009" w:usb3="00000000" w:csb0="200001FF" w:csb1="00000000"/>
  </w:font>
  <w:font w:name="新細明體">
    <w:panose1 w:val="02020500000000000000"/>
    <w:charset w:val="88"/>
    <w:family w:val="auto"/>
    <w:pitch w:val="default"/>
    <w:sig w:usb0="A00002FF" w:usb1="28CFFCFA" w:usb2="00000016" w:usb3="00000000" w:csb0="00100001" w:csb1="00000000"/>
  </w:font>
  <w:font w:name="Calibri Light">
    <w:panose1 w:val="020F0302020204030204"/>
    <w:charset w:val="00"/>
    <w:family w:val="auto"/>
    <w:pitch w:val="default"/>
    <w:sig w:usb0="E4002EFF" w:usb1="C000247B" w:usb2="00000009" w:usb3="00000000" w:csb0="200001FF" w:csb1="00000000"/>
  </w:font>
  <w:font w:name="標楷體">
    <w:panose1 w:val="03000509000000000000"/>
    <w:charset w:val="88"/>
    <w:family w:val="auto"/>
    <w:pitch w:val="default"/>
    <w:sig w:usb0="00000003" w:usb1="082E0000" w:usb2="00000016" w:usb3="00000000" w:csb0="00100001" w:csb1="00000000"/>
  </w:font>
  <w:font w:name="Aharoni">
    <w:altName w:val="Courier New"/>
    <w:panose1 w:val="00000000000000000000"/>
    <w:charset w:val="B1"/>
    <w:family w:val="auto"/>
    <w:pitch w:val="default"/>
    <w:sig w:usb0="00000803" w:usb1="00000000" w:usb2="00000000" w:usb3="00000000" w:csb0="00000021" w:csb1="00000000"/>
  </w:font>
  <w:font w:name="Helvetica">
    <w:altName w:val="Microsoft Sans Serif"/>
    <w:panose1 w:val="020B0604020202020204"/>
    <w:charset w:val="00"/>
    <w:family w:val="auto"/>
    <w:pitch w:val="default"/>
    <w:sig w:usb0="E0002EFF" w:usb1="C000785B" w:usb2="00000009" w:usb3="00000000" w:csb0="000001FF" w:csb1="00000000"/>
  </w:font>
  <w:font w:name="Cambria Math">
    <w:panose1 w:val="02040503050406030204"/>
    <w:charset w:val="00"/>
    <w:family w:val="auto"/>
    <w:pitch w:val="default"/>
    <w:sig w:usb0="E00006FF" w:usb1="420024FF" w:usb2="02000000" w:usb3="00000000" w:csb0="2000019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24208695">
    <w:nsid w:val="60CF7537"/>
    <w:multiLevelType w:val="singleLevel"/>
    <w:tmpl w:val="60CF7537"/>
    <w:lvl w:ilvl="0" w:tentative="1">
      <w:start w:val="6"/>
      <w:numFmt w:val="decimal"/>
      <w:suff w:val="nothing"/>
      <w:lvlText w:val="%1."/>
      <w:lvlJc w:val="left"/>
    </w:lvl>
  </w:abstractNum>
  <w:abstractNum w:abstractNumId="1624208590">
    <w:nsid w:val="60CF74CE"/>
    <w:multiLevelType w:val="singleLevel"/>
    <w:tmpl w:val="60CF74CE"/>
    <w:lvl w:ilvl="0" w:tentative="1">
      <w:start w:val="3"/>
      <w:numFmt w:val="decimal"/>
      <w:suff w:val="nothing"/>
      <w:lvlText w:val="%1."/>
      <w:lvlJc w:val="left"/>
    </w:lvl>
  </w:abstractNum>
  <w:abstractNum w:abstractNumId="1624209388">
    <w:nsid w:val="60CF77EC"/>
    <w:multiLevelType w:val="singleLevel"/>
    <w:tmpl w:val="60CF77EC"/>
    <w:lvl w:ilvl="0" w:tentative="1">
      <w:start w:val="10"/>
      <w:numFmt w:val="decimal"/>
      <w:suff w:val="nothing"/>
      <w:lvlText w:val="%1."/>
      <w:lvlJc w:val="left"/>
    </w:lvl>
  </w:abstractNum>
  <w:abstractNum w:abstractNumId="1624209517">
    <w:nsid w:val="60CF786D"/>
    <w:multiLevelType w:val="singleLevel"/>
    <w:tmpl w:val="60CF786D"/>
    <w:lvl w:ilvl="0" w:tentative="1">
      <w:start w:val="11"/>
      <w:numFmt w:val="decimal"/>
      <w:suff w:val="nothing"/>
      <w:lvlText w:val="%1."/>
      <w:lvlJc w:val="left"/>
    </w:lvl>
  </w:abstractNum>
  <w:abstractNum w:abstractNumId="1624207792">
    <w:nsid w:val="60CF71B0"/>
    <w:multiLevelType w:val="singleLevel"/>
    <w:tmpl w:val="60CF71B0"/>
    <w:lvl w:ilvl="0" w:tentative="1">
      <w:start w:val="1"/>
      <w:numFmt w:val="decimal"/>
      <w:suff w:val="nothing"/>
      <w:lvlText w:val="%1."/>
      <w:lvlJc w:val="left"/>
    </w:lvl>
  </w:abstractNum>
  <w:abstractNum w:abstractNumId="1624208622">
    <w:nsid w:val="60CF74EE"/>
    <w:multiLevelType w:val="singleLevel"/>
    <w:tmpl w:val="60CF74EE"/>
    <w:lvl w:ilvl="0" w:tentative="1">
      <w:start w:val="5"/>
      <w:numFmt w:val="decimal"/>
      <w:suff w:val="nothing"/>
      <w:lvlText w:val="%1."/>
      <w:lvlJc w:val="left"/>
    </w:lvl>
  </w:abstractNum>
  <w:abstractNum w:abstractNumId="1624208967">
    <w:nsid w:val="60CF7647"/>
    <w:multiLevelType w:val="singleLevel"/>
    <w:tmpl w:val="60CF7647"/>
    <w:lvl w:ilvl="0" w:tentative="1">
      <w:start w:val="8"/>
      <w:numFmt w:val="decimal"/>
      <w:suff w:val="nothing"/>
      <w:lvlText w:val="%1."/>
      <w:lvlJc w:val="left"/>
    </w:lvl>
  </w:abstractNum>
  <w:abstractNum w:abstractNumId="1624209191">
    <w:nsid w:val="60CF7727"/>
    <w:multiLevelType w:val="singleLevel"/>
    <w:tmpl w:val="60CF7727"/>
    <w:lvl w:ilvl="0" w:tentative="1">
      <w:start w:val="9"/>
      <w:numFmt w:val="decimal"/>
      <w:suff w:val="nothing"/>
      <w:lvlText w:val="%1."/>
      <w:lvlJc w:val="left"/>
    </w:lvl>
  </w:abstractNum>
  <w:abstractNum w:abstractNumId="1624210083">
    <w:nsid w:val="60CF7AA3"/>
    <w:multiLevelType w:val="singleLevel"/>
    <w:tmpl w:val="60CF7AA3"/>
    <w:lvl w:ilvl="0" w:tentative="1">
      <w:start w:val="14"/>
      <w:numFmt w:val="decimal"/>
      <w:suff w:val="nothing"/>
      <w:lvlText w:val="%1."/>
      <w:lvlJc w:val="left"/>
    </w:lvl>
  </w:abstractNum>
  <w:abstractNum w:abstractNumId="509609985">
    <w:nsid w:val="1E600801"/>
    <w:multiLevelType w:val="multilevel"/>
    <w:tmpl w:val="1E600801"/>
    <w:lvl w:ilvl="0" w:tentative="1">
      <w:start w:val="1"/>
      <w:numFmt w:val="bullet"/>
      <w:lvlText w:val=""/>
      <w:lvlJc w:val="left"/>
      <w:pPr>
        <w:ind w:left="480" w:hanging="480"/>
      </w:pPr>
      <w:rPr>
        <w:rFonts w:hint="default" w:ascii="Wingdings" w:hAnsi="Wingdings"/>
      </w:rPr>
    </w:lvl>
    <w:lvl w:ilvl="1" w:tentative="1">
      <w:start w:val="1"/>
      <w:numFmt w:val="bullet"/>
      <w:lvlText w:val=""/>
      <w:lvlJc w:val="left"/>
      <w:pPr>
        <w:ind w:left="960" w:hanging="480"/>
      </w:pPr>
      <w:rPr>
        <w:rFonts w:hint="default" w:ascii="Wingdings" w:hAnsi="Wingdings"/>
      </w:rPr>
    </w:lvl>
    <w:lvl w:ilvl="2" w:tentative="1">
      <w:start w:val="1"/>
      <w:numFmt w:val="bullet"/>
      <w:lvlText w:val=""/>
      <w:lvlJc w:val="left"/>
      <w:pPr>
        <w:ind w:left="1440" w:hanging="480"/>
      </w:pPr>
      <w:rPr>
        <w:rFonts w:hint="default" w:ascii="Wingdings" w:hAnsi="Wingdings"/>
      </w:rPr>
    </w:lvl>
    <w:lvl w:ilvl="3" w:tentative="1">
      <w:start w:val="1"/>
      <w:numFmt w:val="bullet"/>
      <w:lvlText w:val=""/>
      <w:lvlJc w:val="left"/>
      <w:pPr>
        <w:ind w:left="1920" w:hanging="480"/>
      </w:pPr>
      <w:rPr>
        <w:rFonts w:hint="default" w:ascii="Wingdings" w:hAnsi="Wingdings"/>
      </w:rPr>
    </w:lvl>
    <w:lvl w:ilvl="4" w:tentative="1">
      <w:start w:val="1"/>
      <w:numFmt w:val="bullet"/>
      <w:lvlText w:val=""/>
      <w:lvlJc w:val="left"/>
      <w:pPr>
        <w:ind w:left="2400" w:hanging="480"/>
      </w:pPr>
      <w:rPr>
        <w:rFonts w:hint="default" w:ascii="Wingdings" w:hAnsi="Wingdings"/>
      </w:rPr>
    </w:lvl>
    <w:lvl w:ilvl="5" w:tentative="1">
      <w:start w:val="1"/>
      <w:numFmt w:val="bullet"/>
      <w:lvlText w:val=""/>
      <w:lvlJc w:val="left"/>
      <w:pPr>
        <w:ind w:left="2880" w:hanging="480"/>
      </w:pPr>
      <w:rPr>
        <w:rFonts w:hint="default" w:ascii="Wingdings" w:hAnsi="Wingdings"/>
      </w:rPr>
    </w:lvl>
    <w:lvl w:ilvl="6" w:tentative="1">
      <w:start w:val="1"/>
      <w:numFmt w:val="bullet"/>
      <w:lvlText w:val=""/>
      <w:lvlJc w:val="left"/>
      <w:pPr>
        <w:ind w:left="3360" w:hanging="480"/>
      </w:pPr>
      <w:rPr>
        <w:rFonts w:hint="default" w:ascii="Wingdings" w:hAnsi="Wingdings"/>
      </w:rPr>
    </w:lvl>
    <w:lvl w:ilvl="7" w:tentative="1">
      <w:start w:val="1"/>
      <w:numFmt w:val="bullet"/>
      <w:lvlText w:val=""/>
      <w:lvlJc w:val="left"/>
      <w:pPr>
        <w:ind w:left="3840" w:hanging="480"/>
      </w:pPr>
      <w:rPr>
        <w:rFonts w:hint="default" w:ascii="Wingdings" w:hAnsi="Wingdings"/>
      </w:rPr>
    </w:lvl>
    <w:lvl w:ilvl="8" w:tentative="1">
      <w:start w:val="1"/>
      <w:numFmt w:val="bullet"/>
      <w:lvlText w:val=""/>
      <w:lvlJc w:val="left"/>
      <w:pPr>
        <w:ind w:left="4320" w:hanging="480"/>
      </w:pPr>
      <w:rPr>
        <w:rFonts w:hint="default" w:ascii="Wingdings" w:hAnsi="Wingdings"/>
      </w:rPr>
    </w:lvl>
  </w:abstractNum>
  <w:abstractNum w:abstractNumId="1624207958">
    <w:nsid w:val="60CF7256"/>
    <w:multiLevelType w:val="singleLevel"/>
    <w:tmpl w:val="60CF7256"/>
    <w:lvl w:ilvl="0" w:tentative="1">
      <w:start w:val="2"/>
      <w:numFmt w:val="decimal"/>
      <w:suff w:val="nothing"/>
      <w:lvlText w:val="%1."/>
      <w:lvlJc w:val="left"/>
    </w:lvl>
  </w:abstractNum>
  <w:abstractNum w:abstractNumId="1565799768">
    <w:nsid w:val="5D543558"/>
    <w:multiLevelType w:val="multilevel"/>
    <w:tmpl w:val="5D543558"/>
    <w:lvl w:ilvl="0" w:tentative="1">
      <w:start w:val="1"/>
      <w:numFmt w:val="bullet"/>
      <w:lvlText w:val=""/>
      <w:lvlJc w:val="left"/>
      <w:pPr>
        <w:ind w:left="480" w:hanging="480"/>
      </w:pPr>
      <w:rPr>
        <w:rFonts w:hint="default" w:ascii="Wingdings" w:hAnsi="Wingdings"/>
      </w:rPr>
    </w:lvl>
    <w:lvl w:ilvl="1" w:tentative="1">
      <w:start w:val="1"/>
      <w:numFmt w:val="bullet"/>
      <w:lvlText w:val=""/>
      <w:lvlJc w:val="left"/>
      <w:pPr>
        <w:ind w:left="960" w:hanging="480"/>
      </w:pPr>
      <w:rPr>
        <w:rFonts w:hint="default" w:ascii="Wingdings" w:hAnsi="Wingdings"/>
      </w:rPr>
    </w:lvl>
    <w:lvl w:ilvl="2" w:tentative="1">
      <w:start w:val="1"/>
      <w:numFmt w:val="bullet"/>
      <w:lvlText w:val=""/>
      <w:lvlJc w:val="left"/>
      <w:pPr>
        <w:ind w:left="1440" w:hanging="480"/>
      </w:pPr>
      <w:rPr>
        <w:rFonts w:hint="default" w:ascii="Wingdings" w:hAnsi="Wingdings"/>
      </w:rPr>
    </w:lvl>
    <w:lvl w:ilvl="3" w:tentative="1">
      <w:start w:val="1"/>
      <w:numFmt w:val="bullet"/>
      <w:lvlText w:val=""/>
      <w:lvlJc w:val="left"/>
      <w:pPr>
        <w:ind w:left="1920" w:hanging="480"/>
      </w:pPr>
      <w:rPr>
        <w:rFonts w:hint="default" w:ascii="Wingdings" w:hAnsi="Wingdings"/>
      </w:rPr>
    </w:lvl>
    <w:lvl w:ilvl="4" w:tentative="1">
      <w:start w:val="1"/>
      <w:numFmt w:val="bullet"/>
      <w:lvlText w:val=""/>
      <w:lvlJc w:val="left"/>
      <w:pPr>
        <w:ind w:left="2400" w:hanging="480"/>
      </w:pPr>
      <w:rPr>
        <w:rFonts w:hint="default" w:ascii="Wingdings" w:hAnsi="Wingdings"/>
      </w:rPr>
    </w:lvl>
    <w:lvl w:ilvl="5" w:tentative="1">
      <w:start w:val="1"/>
      <w:numFmt w:val="bullet"/>
      <w:lvlText w:val=""/>
      <w:lvlJc w:val="left"/>
      <w:pPr>
        <w:ind w:left="2880" w:hanging="480"/>
      </w:pPr>
      <w:rPr>
        <w:rFonts w:hint="default" w:ascii="Wingdings" w:hAnsi="Wingdings"/>
      </w:rPr>
    </w:lvl>
    <w:lvl w:ilvl="6" w:tentative="1">
      <w:start w:val="1"/>
      <w:numFmt w:val="bullet"/>
      <w:lvlText w:val=""/>
      <w:lvlJc w:val="left"/>
      <w:pPr>
        <w:ind w:left="3360" w:hanging="480"/>
      </w:pPr>
      <w:rPr>
        <w:rFonts w:hint="default" w:ascii="Wingdings" w:hAnsi="Wingdings"/>
      </w:rPr>
    </w:lvl>
    <w:lvl w:ilvl="7" w:tentative="1">
      <w:start w:val="1"/>
      <w:numFmt w:val="bullet"/>
      <w:lvlText w:val=""/>
      <w:lvlJc w:val="left"/>
      <w:pPr>
        <w:ind w:left="3840" w:hanging="480"/>
      </w:pPr>
      <w:rPr>
        <w:rFonts w:hint="default" w:ascii="Wingdings" w:hAnsi="Wingdings"/>
      </w:rPr>
    </w:lvl>
    <w:lvl w:ilvl="8" w:tentative="1">
      <w:start w:val="1"/>
      <w:numFmt w:val="bullet"/>
      <w:lvlText w:val=""/>
      <w:lvlJc w:val="left"/>
      <w:pPr>
        <w:ind w:left="4320" w:hanging="480"/>
      </w:pPr>
      <w:rPr>
        <w:rFonts w:hint="default" w:ascii="Wingdings" w:hAnsi="Wingdings"/>
      </w:rPr>
    </w:lvl>
  </w:abstractNum>
  <w:abstractNum w:abstractNumId="1624210375">
    <w:nsid w:val="60CF7BC7"/>
    <w:multiLevelType w:val="singleLevel"/>
    <w:tmpl w:val="60CF7BC7"/>
    <w:lvl w:ilvl="0" w:tentative="1">
      <w:start w:val="15"/>
      <w:numFmt w:val="decimal"/>
      <w:suff w:val="nothing"/>
      <w:lvlText w:val="%1."/>
      <w:lvlJc w:val="left"/>
    </w:lvl>
  </w:abstractNum>
  <w:abstractNum w:abstractNumId="1624210356">
    <w:nsid w:val="60CF7BB4"/>
    <w:multiLevelType w:val="singleLevel"/>
    <w:tmpl w:val="60CF7BB4"/>
    <w:lvl w:ilvl="0" w:tentative="1">
      <w:start w:val="16"/>
      <w:numFmt w:val="decimal"/>
      <w:suff w:val="nothing"/>
      <w:lvlText w:val="%1."/>
      <w:lvlJc w:val="left"/>
    </w:lvl>
  </w:abstractNum>
  <w:abstractNum w:abstractNumId="1624213985">
    <w:nsid w:val="60CF89E1"/>
    <w:multiLevelType w:val="singleLevel"/>
    <w:tmpl w:val="60CF89E1"/>
    <w:lvl w:ilvl="0" w:tentative="1">
      <w:start w:val="19"/>
      <w:numFmt w:val="decimal"/>
      <w:suff w:val="nothing"/>
      <w:lvlText w:val="%1."/>
      <w:lvlJc w:val="left"/>
    </w:lvl>
  </w:abstractNum>
  <w:num w:numId="1">
    <w:abstractNumId w:val="509609985"/>
  </w:num>
  <w:num w:numId="2">
    <w:abstractNumId w:val="1565799768"/>
  </w:num>
  <w:num w:numId="3">
    <w:abstractNumId w:val="1624207792"/>
  </w:num>
  <w:num w:numId="4">
    <w:abstractNumId w:val="1624207958"/>
  </w:num>
  <w:num w:numId="5">
    <w:abstractNumId w:val="1624208590"/>
  </w:num>
  <w:num w:numId="6">
    <w:abstractNumId w:val="1624208622"/>
  </w:num>
  <w:num w:numId="7">
    <w:abstractNumId w:val="1624208695"/>
  </w:num>
  <w:num w:numId="8">
    <w:abstractNumId w:val="1624208967"/>
  </w:num>
  <w:num w:numId="9">
    <w:abstractNumId w:val="1624209191"/>
  </w:num>
  <w:num w:numId="10">
    <w:abstractNumId w:val="1624209388"/>
  </w:num>
  <w:num w:numId="11">
    <w:abstractNumId w:val="1624209517"/>
  </w:num>
  <w:num w:numId="12">
    <w:abstractNumId w:val="1624210083"/>
  </w:num>
  <w:num w:numId="13">
    <w:abstractNumId w:val="1624210375"/>
  </w:num>
  <w:num w:numId="14">
    <w:abstractNumId w:val="1624210356"/>
  </w:num>
  <w:num w:numId="15">
    <w:abstractNumId w:val="16242139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pPr>
      <w:widowControl w:val="0"/>
    </w:pPr>
    <w:rPr>
      <w:rFonts w:ascii="Calibri" w:hAnsi="Calibri"/>
      <w:kern w:val="2"/>
      <w:sz w:val="24"/>
      <w:szCs w:val="22"/>
      <w:lang w:val="en-US" w:eastAsia="zh-TW" w:bidi="ar-SA"/>
    </w:rPr>
  </w:style>
  <w:style w:type="paragraph" w:styleId="2">
    <w:name w:val="heading 1"/>
    <w:basedOn w:val="1"/>
    <w:next w:val="1"/>
    <w:link w:val="12"/>
    <w:qFormat/>
    <w:uiPriority w:val="9"/>
    <w:pPr>
      <w:keepNext/>
      <w:spacing w:before="180" w:after="180" w:line="720" w:lineRule="auto"/>
      <w:outlineLvl w:val="0"/>
    </w:pPr>
    <w:rPr>
      <w:rFonts w:ascii="Calibri Light" w:hAnsi="Calibri Light"/>
      <w:b/>
      <w:bCs/>
      <w:kern w:val="52"/>
      <w:sz w:val="52"/>
      <w:szCs w:val="52"/>
    </w:rPr>
  </w:style>
  <w:style w:type="paragraph" w:styleId="3">
    <w:name w:val="heading 2"/>
    <w:basedOn w:val="1"/>
    <w:next w:val="1"/>
    <w:link w:val="13"/>
    <w:unhideWhenUsed/>
    <w:qFormat/>
    <w:uiPriority w:val="9"/>
    <w:pPr>
      <w:keepNext/>
      <w:spacing w:line="720" w:lineRule="auto"/>
      <w:outlineLvl w:val="1"/>
    </w:pPr>
    <w:rPr>
      <w:rFonts w:ascii="Calibri Light" w:hAnsi="Calibri Light"/>
      <w:b/>
      <w:bCs/>
      <w:sz w:val="48"/>
      <w:szCs w:val="48"/>
    </w:rPr>
  </w:style>
  <w:style w:type="character" w:default="1" w:styleId="8">
    <w:name w:val="Default Paragraph Font"/>
    <w:semiHidden/>
    <w:unhideWhenUsed/>
    <w:uiPriority w:val="1"/>
  </w:style>
  <w:style w:type="paragraph" w:styleId="4">
    <w:name w:val="footer"/>
    <w:basedOn w:val="1"/>
    <w:link w:val="18"/>
    <w:unhideWhenUsed/>
    <w:uiPriority w:val="99"/>
    <w:pPr>
      <w:tabs>
        <w:tab w:val="center" w:pos="4153"/>
        <w:tab w:val="right" w:pos="8306"/>
      </w:tabs>
      <w:snapToGrid w:val="0"/>
    </w:pPr>
    <w:rPr>
      <w:sz w:val="20"/>
      <w:szCs w:val="20"/>
    </w:rPr>
  </w:style>
  <w:style w:type="paragraph" w:styleId="5">
    <w:name w:val="header"/>
    <w:basedOn w:val="1"/>
    <w:link w:val="17"/>
    <w:unhideWhenUsed/>
    <w:uiPriority w:val="99"/>
    <w:pPr>
      <w:tabs>
        <w:tab w:val="center" w:pos="4153"/>
        <w:tab w:val="right" w:pos="8306"/>
      </w:tabs>
      <w:snapToGrid w:val="0"/>
    </w:pPr>
    <w:rPr>
      <w:sz w:val="20"/>
      <w:szCs w:val="20"/>
    </w:rPr>
  </w:style>
  <w:style w:type="paragraph" w:styleId="6">
    <w:name w:val="toc 2"/>
    <w:basedOn w:val="1"/>
    <w:next w:val="1"/>
    <w:unhideWhenUsed/>
    <w:qFormat/>
    <w:uiPriority w:val="39"/>
    <w:pPr>
      <w:widowControl/>
      <w:tabs>
        <w:tab w:val="right" w:leader="dot" w:pos="8630"/>
      </w:tabs>
      <w:spacing w:before="120" w:line="400" w:lineRule="exact"/>
      <w:jc w:val="right"/>
    </w:pPr>
    <w:rPr>
      <w:bCs/>
      <w:color w:val="637B9B"/>
      <w:kern w:val="0"/>
      <w:szCs w:val="20"/>
      <w:lang w:eastAsia="zh-CN"/>
    </w:rPr>
  </w:style>
  <w:style w:type="paragraph" w:styleId="7">
    <w:name w:val="Normal (Web)"/>
    <w:basedOn w:val="1"/>
    <w:unhideWhenUsed/>
    <w:uiPriority w:val="99"/>
    <w:pPr>
      <w:widowControl/>
      <w:spacing w:before="100" w:beforeAutospacing="1" w:after="100" w:afterAutospacing="1"/>
    </w:pPr>
    <w:rPr>
      <w:rFonts w:ascii="新細明體" w:hAnsi="新細明體" w:eastAsia="新細明體" w:cs="新細明體"/>
      <w:kern w:val="0"/>
      <w:szCs w:val="24"/>
    </w:rPr>
  </w:style>
  <w:style w:type="character" w:styleId="9">
    <w:name w:val="Strong"/>
    <w:basedOn w:val="8"/>
    <w:qFormat/>
    <w:uiPriority w:val="22"/>
    <w:rPr>
      <w:b/>
      <w:bCs/>
    </w:rPr>
  </w:style>
  <w:style w:type="character" w:styleId="10">
    <w:name w:val="Hyperlink"/>
    <w:basedOn w:val="8"/>
    <w:unhideWhenUsed/>
    <w:uiPriority w:val="99"/>
    <w:rPr>
      <w:color w:val="0563C1"/>
      <w:u w:val="single"/>
    </w:rPr>
  </w:style>
  <w:style w:type="paragraph" w:customStyle="1" w:styleId="11">
    <w:name w:val="List Paragraph"/>
    <w:basedOn w:val="1"/>
    <w:qFormat/>
    <w:uiPriority w:val="34"/>
    <w:pPr>
      <w:ind w:left="480" w:leftChars="200"/>
    </w:pPr>
  </w:style>
  <w:style w:type="character" w:customStyle="1" w:styleId="12">
    <w:name w:val="標題 1 字元"/>
    <w:basedOn w:val="8"/>
    <w:link w:val="2"/>
    <w:uiPriority w:val="9"/>
    <w:rPr>
      <w:rFonts w:ascii="Calibri Light" w:hAnsi="Calibri Light"/>
      <w:b/>
      <w:bCs/>
      <w:kern w:val="52"/>
      <w:sz w:val="52"/>
      <w:szCs w:val="52"/>
    </w:rPr>
  </w:style>
  <w:style w:type="character" w:customStyle="1" w:styleId="13">
    <w:name w:val="標題 2 字元"/>
    <w:basedOn w:val="8"/>
    <w:link w:val="3"/>
    <w:uiPriority w:val="9"/>
    <w:rPr>
      <w:rFonts w:ascii="Calibri Light" w:hAnsi="Calibri Light"/>
      <w:b/>
      <w:bCs/>
      <w:sz w:val="48"/>
      <w:szCs w:val="48"/>
    </w:rPr>
  </w:style>
  <w:style w:type="character" w:customStyle="1" w:styleId="14">
    <w:name w:val="未解析的提及1"/>
    <w:basedOn w:val="8"/>
    <w:semiHidden/>
    <w:unhideWhenUsed/>
    <w:uiPriority w:val="99"/>
    <w:rPr>
      <w:color w:val="605E5C"/>
      <w:shd w:val="clear" w:color="auto" w:fill="E1DFDD"/>
    </w:rPr>
  </w:style>
  <w:style w:type="character" w:customStyle="1" w:styleId="15">
    <w:name w:val="tadv-color"/>
    <w:basedOn w:val="8"/>
    <w:uiPriority w:val="0"/>
    <w:rPr/>
  </w:style>
  <w:style w:type="character" w:customStyle="1" w:styleId="16">
    <w:name w:val="Placeholder Text"/>
    <w:basedOn w:val="8"/>
    <w:semiHidden/>
    <w:uiPriority w:val="99"/>
    <w:rPr>
      <w:color w:val="808080"/>
    </w:rPr>
  </w:style>
  <w:style w:type="character" w:customStyle="1" w:styleId="17">
    <w:name w:val="頁首 字元"/>
    <w:basedOn w:val="8"/>
    <w:link w:val="5"/>
    <w:uiPriority w:val="99"/>
    <w:rPr>
      <w:sz w:val="20"/>
      <w:szCs w:val="20"/>
    </w:rPr>
  </w:style>
  <w:style w:type="character" w:customStyle="1" w:styleId="18">
    <w:name w:val="頁尾 字元"/>
    <w:basedOn w:val="8"/>
    <w:link w:val="4"/>
    <w:uiPriority w:val="99"/>
    <w:rPr>
      <w:sz w:val="20"/>
      <w:szCs w:val="2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customXml" Target="../customXml/item1.xml"/><Relationship Id="rId17"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1947</Words>
  <Characters>11103</Characters>
  <Lines>92</Lines>
  <Paragraphs>26</Paragraphs>
  <TotalTime>0</TotalTime>
  <ScaleCrop>false</ScaleCrop>
  <LinksUpToDate>false</LinksUpToDate>
  <CharactersWithSpaces>0</CharactersWithSpaces>
  <Application>WPS Office 個人版_9.1.0.4468_{F1E327BC-269C-435d-A152-05C5408002CA}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2021-06-20T12:28:00Z</dcterms:created>
  <dc:creator>昀潔</dc:creator>
  <cp:lastModifiedBy>user</cp:lastModifiedBy>
  <cp:lastPrinted>2021-06-21T08:25:00Z</cp:lastPrinted>
  <dcterms:modified xsi:type="dcterms:W3CDTF">2021-06-21T16:06:27Z</dcterms:modified>
  <dc:title>   個體經濟學期末報告</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